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98F0B" w14:textId="03596656" w:rsidR="00517624" w:rsidRPr="00AB66A4" w:rsidRDefault="00AB66A4" w:rsidP="00B2025A">
      <w:pPr>
        <w:jc w:val="center"/>
        <w:rPr>
          <w:rFonts w:ascii="Times New Roman" w:eastAsia="Times New Roman" w:hAnsi="Times New Roman" w:cs="Times New Roman"/>
          <w:sz w:val="28"/>
          <w:szCs w:val="20"/>
          <w:lang w:val="uk-UA" w:eastAsia="ru-RU"/>
        </w:rPr>
      </w:pPr>
      <w:r>
        <w:rPr>
          <w:rFonts w:ascii="Times New Roman" w:eastAsia="Times New Roman" w:hAnsi="Times New Roman" w:cs="Times New Roman"/>
          <w:sz w:val="28"/>
          <w:szCs w:val="20"/>
          <w:lang w:val="uk-UA" w:eastAsia="ru-RU"/>
        </w:rPr>
        <w:t xml:space="preserve">Пропозиції ПАРД до </w:t>
      </w:r>
      <w:r w:rsidR="00517624" w:rsidRPr="00AB66A4">
        <w:rPr>
          <w:rFonts w:ascii="Times New Roman" w:eastAsia="Times New Roman" w:hAnsi="Times New Roman" w:cs="Times New Roman"/>
          <w:sz w:val="28"/>
          <w:szCs w:val="20"/>
          <w:lang w:val="uk-UA" w:eastAsia="ru-RU"/>
        </w:rPr>
        <w:t xml:space="preserve">Рішення НКЦПФР </w:t>
      </w:r>
      <w:r>
        <w:rPr>
          <w:rFonts w:ascii="Times New Roman" w:eastAsia="Times New Roman" w:hAnsi="Times New Roman" w:cs="Times New Roman"/>
          <w:sz w:val="28"/>
          <w:szCs w:val="20"/>
          <w:lang w:val="uk-UA" w:eastAsia="ru-RU"/>
        </w:rPr>
        <w:t>«Щ</w:t>
      </w:r>
      <w:r w:rsidR="00517624" w:rsidRPr="00AB66A4">
        <w:rPr>
          <w:rFonts w:ascii="Times New Roman" w:eastAsia="Times New Roman" w:hAnsi="Times New Roman" w:cs="Times New Roman"/>
          <w:sz w:val="28"/>
          <w:szCs w:val="20"/>
          <w:lang w:val="uk-UA" w:eastAsia="ru-RU"/>
        </w:rPr>
        <w:t>одо пруденційних нормативів професійної діяльності на ринках капіталу та організованих товарних ринках</w:t>
      </w:r>
      <w:r>
        <w:rPr>
          <w:rFonts w:ascii="Times New Roman" w:eastAsia="Times New Roman" w:hAnsi="Times New Roman" w:cs="Times New Roman"/>
          <w:sz w:val="28"/>
          <w:szCs w:val="20"/>
          <w:lang w:val="uk-UA" w:eastAsia="ru-RU"/>
        </w:rPr>
        <w:t>»</w:t>
      </w:r>
      <w:r w:rsidR="00517624" w:rsidRPr="00AB66A4">
        <w:rPr>
          <w:rFonts w:ascii="Times New Roman" w:eastAsia="Times New Roman" w:hAnsi="Times New Roman" w:cs="Times New Roman"/>
          <w:sz w:val="28"/>
          <w:szCs w:val="20"/>
          <w:lang w:val="uk-UA" w:eastAsia="ru-RU"/>
        </w:rPr>
        <w:t xml:space="preserve"> від 05 вересня 2022 року № 1139</w:t>
      </w:r>
    </w:p>
    <w:p w14:paraId="29A1936E" w14:textId="77777777" w:rsidR="00FE6284" w:rsidRPr="00AB66A4" w:rsidRDefault="00FE6284" w:rsidP="00AB66A4">
      <w:pPr>
        <w:spacing w:after="0" w:line="360" w:lineRule="auto"/>
        <w:rPr>
          <w:rFonts w:ascii="Times New Roman" w:hAnsi="Times New Roman" w:cs="Times New Roman"/>
          <w:color w:val="0D0D0D" w:themeColor="text1" w:themeTint="F2"/>
          <w:sz w:val="20"/>
          <w:szCs w:val="20"/>
          <w:lang w:val="uk-UA" w:eastAsia="uk-UA"/>
        </w:rPr>
      </w:pPr>
    </w:p>
    <w:tbl>
      <w:tblPr>
        <w:tblStyle w:val="a3"/>
        <w:tblW w:w="0" w:type="auto"/>
        <w:tblInd w:w="-567" w:type="dxa"/>
        <w:tblLook w:val="04A0" w:firstRow="1" w:lastRow="0" w:firstColumn="1" w:lastColumn="0" w:noHBand="0" w:noVBand="1"/>
      </w:tblPr>
      <w:tblGrid>
        <w:gridCol w:w="7394"/>
        <w:gridCol w:w="7394"/>
      </w:tblGrid>
      <w:tr w:rsidR="00AB66A4" w:rsidRPr="00B2025A" w14:paraId="2B24EF36" w14:textId="77777777" w:rsidTr="00E94C6B">
        <w:tc>
          <w:tcPr>
            <w:tcW w:w="7394" w:type="dxa"/>
          </w:tcPr>
          <w:p w14:paraId="6014FFCC" w14:textId="42F9A85C" w:rsidR="00AB66A4" w:rsidRPr="00AB66A4" w:rsidRDefault="00AB66A4" w:rsidP="00AB66A4">
            <w:pPr>
              <w:spacing w:after="0" w:line="240" w:lineRule="auto"/>
              <w:ind w:firstLine="709"/>
              <w:jc w:val="center"/>
              <w:rPr>
                <w:rFonts w:ascii="Times New Roman" w:hAnsi="Times New Roman" w:cs="Times New Roman"/>
                <w:sz w:val="24"/>
                <w:szCs w:val="24"/>
                <w:lang w:val="ru-RU"/>
              </w:rPr>
            </w:pPr>
            <w:r w:rsidRPr="00AB66A4">
              <w:rPr>
                <w:rFonts w:ascii="Times New Roman" w:hAnsi="Times New Roman" w:cs="Times New Roman"/>
                <w:sz w:val="24"/>
                <w:szCs w:val="24"/>
                <w:lang w:val="ru-RU"/>
              </w:rPr>
              <w:t>Чинна Редакція</w:t>
            </w:r>
          </w:p>
        </w:tc>
        <w:tc>
          <w:tcPr>
            <w:tcW w:w="7394" w:type="dxa"/>
          </w:tcPr>
          <w:p w14:paraId="3D6A1E9B" w14:textId="7EBC9EAB" w:rsidR="00AB66A4" w:rsidRPr="00AB66A4" w:rsidRDefault="00AB66A4" w:rsidP="00AB66A4">
            <w:pPr>
              <w:spacing w:after="0" w:line="360" w:lineRule="auto"/>
              <w:jc w:val="center"/>
              <w:rPr>
                <w:rFonts w:ascii="Times New Roman" w:hAnsi="Times New Roman" w:cs="Times New Roman"/>
                <w:sz w:val="24"/>
                <w:szCs w:val="24"/>
                <w:lang w:val="ru-RU"/>
              </w:rPr>
            </w:pPr>
            <w:r w:rsidRPr="00AB66A4">
              <w:rPr>
                <w:rFonts w:ascii="Times New Roman" w:hAnsi="Times New Roman" w:cs="Times New Roman"/>
                <w:sz w:val="24"/>
                <w:szCs w:val="24"/>
                <w:lang w:val="ru-RU"/>
              </w:rPr>
              <w:t>Редакція з урахуванням пропозицій ПАРД</w:t>
            </w:r>
          </w:p>
        </w:tc>
      </w:tr>
      <w:tr w:rsidR="00517624" w:rsidRPr="00B2025A" w14:paraId="2738BC9D" w14:textId="77777777" w:rsidTr="00517624">
        <w:tc>
          <w:tcPr>
            <w:tcW w:w="7394" w:type="dxa"/>
          </w:tcPr>
          <w:p w14:paraId="36A1B528" w14:textId="3F51A714" w:rsidR="00517624" w:rsidRPr="00AB66A4" w:rsidRDefault="00517624" w:rsidP="00D1260B">
            <w:pPr>
              <w:spacing w:after="0" w:line="240" w:lineRule="auto"/>
              <w:ind w:firstLine="709"/>
              <w:jc w:val="both"/>
              <w:rPr>
                <w:rFonts w:ascii="Times New Roman" w:eastAsia="Times New Roman" w:hAnsi="Times New Roman" w:cs="Times New Roman"/>
                <w:sz w:val="24"/>
                <w:szCs w:val="24"/>
                <w:lang w:val="uk-UA" w:eastAsia="ru-RU"/>
              </w:rPr>
            </w:pPr>
            <w:r w:rsidRPr="00AB66A4">
              <w:rPr>
                <w:rFonts w:ascii="Times New Roman" w:eastAsia="Times New Roman" w:hAnsi="Times New Roman" w:cs="Times New Roman"/>
                <w:sz w:val="24"/>
                <w:szCs w:val="24"/>
                <w:lang w:val="uk-UA" w:eastAsia="ru-RU"/>
              </w:rPr>
              <w:t xml:space="preserve">1. Встановити, що: для вимірювання та оцінки ризиків професійної діяльності на ринках капіталу та організованих товарних ринках використовується норматив ліквідності активів, який розраховується </w:t>
            </w:r>
            <w:r w:rsidRPr="00AB66A4">
              <w:rPr>
                <w:rFonts w:ascii="Times New Roman" w:eastAsia="Times New Roman" w:hAnsi="Times New Roman" w:cs="Times New Roman"/>
                <w:strike/>
                <w:sz w:val="24"/>
                <w:szCs w:val="24"/>
                <w:lang w:val="uk-UA" w:eastAsia="ru-RU"/>
              </w:rPr>
              <w:t>як відношення різниці між сумою активів установи у вигляді грошових коштів, державних облігацій України та зобов’язаннями установи до мінімального розміру початкового капіталу, встановленого законодавством для відповідного виду професійної діяльності на ринках капіталу та організованих товарних ринках</w:t>
            </w:r>
            <w:r w:rsidRPr="00AB66A4">
              <w:rPr>
                <w:rFonts w:ascii="Times New Roman" w:eastAsia="Times New Roman" w:hAnsi="Times New Roman" w:cs="Times New Roman"/>
                <w:sz w:val="24"/>
                <w:szCs w:val="24"/>
                <w:lang w:val="uk-UA" w:eastAsia="ru-RU"/>
              </w:rPr>
              <w:t xml:space="preserve">, за формулою </w:t>
            </w:r>
          </w:p>
          <w:p w14:paraId="1119F1FD" w14:textId="77777777" w:rsidR="00517624" w:rsidRPr="00AB66A4" w:rsidRDefault="00517624" w:rsidP="00AB66A4">
            <w:pPr>
              <w:spacing w:after="0" w:line="240" w:lineRule="auto"/>
              <w:jc w:val="both"/>
              <w:rPr>
                <w:rFonts w:ascii="Times New Roman" w:eastAsia="Times New Roman" w:hAnsi="Times New Roman" w:cs="Times New Roman"/>
                <w:sz w:val="24"/>
                <w:szCs w:val="24"/>
                <w:lang w:val="uk-UA" w:eastAsia="ru-RU"/>
              </w:rPr>
            </w:pPr>
          </w:p>
          <w:p w14:paraId="209E0CA0" w14:textId="11C17700" w:rsidR="00385B62" w:rsidRPr="00AB66A4" w:rsidRDefault="00517624" w:rsidP="00AB66A4">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t xml:space="preserve">ГК + ОВДП + ОЗДП – </w:t>
            </w:r>
            <w:r w:rsidRPr="003B7B8E">
              <w:rPr>
                <w:rFonts w:ascii="Times New Roman" w:eastAsia="Times New Roman" w:hAnsi="Times New Roman" w:cs="Times New Roman"/>
                <w:strike/>
                <w:sz w:val="24"/>
                <w:szCs w:val="24"/>
                <w:lang w:val="ru-RU" w:eastAsia="ru-RU"/>
              </w:rPr>
              <w:t>ЗБ</w:t>
            </w:r>
            <w:r w:rsidRPr="00AB66A4">
              <w:rPr>
                <w:rFonts w:ascii="Times New Roman" w:eastAsia="Times New Roman" w:hAnsi="Times New Roman" w:cs="Times New Roman"/>
                <w:sz w:val="24"/>
                <w:szCs w:val="24"/>
                <w:lang w:val="ru-RU" w:eastAsia="ru-RU"/>
              </w:rPr>
              <w:t xml:space="preserve">  / ПК </w:t>
            </w:r>
          </w:p>
          <w:p w14:paraId="6162FD4B" w14:textId="77777777" w:rsidR="00517624" w:rsidRPr="00AB66A4" w:rsidRDefault="00517624" w:rsidP="00D1260B">
            <w:pPr>
              <w:spacing w:after="0" w:line="240" w:lineRule="auto"/>
              <w:ind w:firstLine="709"/>
              <w:jc w:val="both"/>
              <w:rPr>
                <w:rFonts w:ascii="Times New Roman" w:eastAsia="Times New Roman" w:hAnsi="Times New Roman" w:cs="Times New Roman"/>
                <w:sz w:val="24"/>
                <w:szCs w:val="24"/>
                <w:lang w:val="ru-RU" w:eastAsia="ru-RU"/>
              </w:rPr>
            </w:pPr>
          </w:p>
          <w:p w14:paraId="2D9C0C3A" w14:textId="77777777" w:rsidR="00517624" w:rsidRPr="00AB66A4" w:rsidRDefault="00517624" w:rsidP="00D1260B">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t>де ГК – грошові кошти, що включають кошти установи на поточних рахунках та депозити в банках (крім банків, у яких запроваджено тимчасову адміністрацію або проводиться процедура ліквідації),</w:t>
            </w:r>
          </w:p>
          <w:p w14:paraId="568DC8B6" w14:textId="77777777" w:rsidR="00517624" w:rsidRPr="00AB66A4" w:rsidRDefault="00517624" w:rsidP="00D1260B">
            <w:pPr>
              <w:spacing w:after="0" w:line="240" w:lineRule="auto"/>
              <w:ind w:firstLine="709"/>
              <w:jc w:val="both"/>
              <w:rPr>
                <w:rFonts w:ascii="Times New Roman" w:hAnsi="Times New Roman" w:cs="Times New Roman"/>
                <w:sz w:val="24"/>
                <w:szCs w:val="24"/>
                <w:lang w:val="ru-RU"/>
              </w:rPr>
            </w:pPr>
          </w:p>
          <w:p w14:paraId="1859DE70" w14:textId="77777777" w:rsidR="00517624" w:rsidRPr="00AB66A4" w:rsidRDefault="00517624" w:rsidP="00D1260B">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ОВДП – облігації внутрішньої державної позики України,</w:t>
            </w:r>
          </w:p>
          <w:p w14:paraId="4AB72CE1" w14:textId="77777777" w:rsidR="00517624" w:rsidRPr="00AB66A4" w:rsidRDefault="00517624" w:rsidP="00D1260B">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ОЗДП – облігації зовнішньої державної позики України,</w:t>
            </w:r>
          </w:p>
          <w:p w14:paraId="38D6D4E7" w14:textId="77777777" w:rsidR="00B318C9" w:rsidRPr="00AB66A4" w:rsidRDefault="00B318C9" w:rsidP="00D1260B">
            <w:pPr>
              <w:spacing w:after="0" w:line="240" w:lineRule="auto"/>
              <w:ind w:firstLine="709"/>
              <w:jc w:val="both"/>
              <w:rPr>
                <w:rFonts w:ascii="Times New Roman" w:hAnsi="Times New Roman" w:cs="Times New Roman"/>
                <w:sz w:val="24"/>
                <w:szCs w:val="24"/>
                <w:lang w:val="ru-RU"/>
              </w:rPr>
            </w:pPr>
          </w:p>
          <w:p w14:paraId="24B27098" w14:textId="77777777" w:rsidR="00B318C9" w:rsidRPr="00AB66A4" w:rsidRDefault="00B318C9" w:rsidP="00D1260B">
            <w:pPr>
              <w:spacing w:after="0" w:line="240" w:lineRule="auto"/>
              <w:ind w:firstLine="709"/>
              <w:jc w:val="both"/>
              <w:rPr>
                <w:rFonts w:ascii="Times New Roman" w:hAnsi="Times New Roman" w:cs="Times New Roman"/>
                <w:sz w:val="24"/>
                <w:szCs w:val="24"/>
                <w:lang w:val="ru-RU"/>
              </w:rPr>
            </w:pPr>
          </w:p>
          <w:p w14:paraId="6C96466A" w14:textId="77777777" w:rsidR="00B318C9" w:rsidRPr="00AB66A4" w:rsidRDefault="00B318C9" w:rsidP="00D1260B">
            <w:pPr>
              <w:spacing w:after="0" w:line="240" w:lineRule="auto"/>
              <w:ind w:firstLine="709"/>
              <w:jc w:val="both"/>
              <w:rPr>
                <w:rFonts w:ascii="Times New Roman" w:hAnsi="Times New Roman" w:cs="Times New Roman"/>
                <w:sz w:val="24"/>
                <w:szCs w:val="24"/>
                <w:lang w:val="ru-RU"/>
              </w:rPr>
            </w:pPr>
          </w:p>
          <w:p w14:paraId="5C18507C" w14:textId="77777777" w:rsidR="00B318C9" w:rsidRPr="00AB66A4" w:rsidRDefault="00B318C9" w:rsidP="00D1260B">
            <w:pPr>
              <w:spacing w:after="0" w:line="240" w:lineRule="auto"/>
              <w:ind w:firstLine="709"/>
              <w:jc w:val="both"/>
              <w:rPr>
                <w:rFonts w:ascii="Times New Roman" w:hAnsi="Times New Roman" w:cs="Times New Roman"/>
                <w:sz w:val="24"/>
                <w:szCs w:val="24"/>
                <w:lang w:val="ru-RU"/>
              </w:rPr>
            </w:pPr>
          </w:p>
          <w:p w14:paraId="2BD4882E" w14:textId="77777777" w:rsidR="00B318C9" w:rsidRPr="00AB66A4" w:rsidRDefault="00B318C9" w:rsidP="00D1260B">
            <w:pPr>
              <w:spacing w:after="0" w:line="240" w:lineRule="auto"/>
              <w:ind w:firstLine="709"/>
              <w:jc w:val="both"/>
              <w:rPr>
                <w:rFonts w:ascii="Times New Roman" w:hAnsi="Times New Roman" w:cs="Times New Roman"/>
                <w:sz w:val="24"/>
                <w:szCs w:val="24"/>
                <w:lang w:val="ru-RU"/>
              </w:rPr>
            </w:pPr>
          </w:p>
          <w:p w14:paraId="4F426351" w14:textId="77777777" w:rsidR="00302738" w:rsidRPr="00AB66A4" w:rsidRDefault="00302738" w:rsidP="00D1260B">
            <w:pPr>
              <w:spacing w:after="0" w:line="240" w:lineRule="auto"/>
              <w:ind w:firstLine="709"/>
              <w:jc w:val="both"/>
              <w:rPr>
                <w:rFonts w:ascii="Times New Roman" w:hAnsi="Times New Roman" w:cs="Times New Roman"/>
                <w:sz w:val="24"/>
                <w:szCs w:val="24"/>
                <w:lang w:val="ru-RU"/>
              </w:rPr>
            </w:pPr>
          </w:p>
          <w:p w14:paraId="40E8E7AD" w14:textId="77777777" w:rsidR="00302738" w:rsidRPr="00AB66A4" w:rsidRDefault="00302738" w:rsidP="00D1260B">
            <w:pPr>
              <w:spacing w:after="0" w:line="240" w:lineRule="auto"/>
              <w:ind w:firstLine="709"/>
              <w:jc w:val="both"/>
              <w:rPr>
                <w:rFonts w:ascii="Times New Roman" w:hAnsi="Times New Roman" w:cs="Times New Roman"/>
                <w:sz w:val="24"/>
                <w:szCs w:val="24"/>
                <w:lang w:val="ru-RU"/>
              </w:rPr>
            </w:pPr>
          </w:p>
          <w:p w14:paraId="420CBC1A" w14:textId="77777777" w:rsidR="00302738" w:rsidRPr="00AB66A4" w:rsidRDefault="00302738" w:rsidP="00D1260B">
            <w:pPr>
              <w:spacing w:after="0" w:line="240" w:lineRule="auto"/>
              <w:ind w:firstLine="709"/>
              <w:jc w:val="both"/>
              <w:rPr>
                <w:rFonts w:ascii="Times New Roman" w:hAnsi="Times New Roman" w:cs="Times New Roman"/>
                <w:sz w:val="24"/>
                <w:szCs w:val="24"/>
                <w:lang w:val="ru-RU"/>
              </w:rPr>
            </w:pPr>
          </w:p>
          <w:p w14:paraId="13790C1A" w14:textId="77777777" w:rsidR="00B318C9" w:rsidRPr="00AB66A4" w:rsidRDefault="00B318C9" w:rsidP="00D1260B">
            <w:pPr>
              <w:spacing w:after="0" w:line="240" w:lineRule="auto"/>
              <w:ind w:firstLine="709"/>
              <w:jc w:val="both"/>
              <w:rPr>
                <w:rFonts w:ascii="Times New Roman" w:hAnsi="Times New Roman" w:cs="Times New Roman"/>
                <w:sz w:val="24"/>
                <w:szCs w:val="24"/>
                <w:lang w:val="ru-RU"/>
              </w:rPr>
            </w:pPr>
          </w:p>
          <w:p w14:paraId="47F14CF6" w14:textId="77777777" w:rsidR="00F51BCB" w:rsidRDefault="00F51BCB" w:rsidP="00F51BCB">
            <w:pPr>
              <w:spacing w:after="0" w:line="240" w:lineRule="auto"/>
              <w:jc w:val="both"/>
              <w:rPr>
                <w:rFonts w:ascii="Times New Roman" w:hAnsi="Times New Roman" w:cs="Times New Roman"/>
                <w:strike/>
                <w:sz w:val="24"/>
                <w:szCs w:val="24"/>
                <w:lang w:val="ru-RU"/>
              </w:rPr>
            </w:pPr>
          </w:p>
          <w:p w14:paraId="33ADE09E" w14:textId="77777777" w:rsidR="00F51BCB" w:rsidRDefault="00517624" w:rsidP="00F51BCB">
            <w:pPr>
              <w:spacing w:after="0" w:line="240" w:lineRule="auto"/>
              <w:ind w:firstLine="709"/>
              <w:jc w:val="both"/>
              <w:rPr>
                <w:rFonts w:ascii="Times New Roman" w:hAnsi="Times New Roman" w:cs="Times New Roman"/>
                <w:sz w:val="24"/>
                <w:szCs w:val="24"/>
                <w:lang w:val="ru-RU"/>
              </w:rPr>
            </w:pPr>
            <w:r w:rsidRPr="003B7B8E">
              <w:rPr>
                <w:rFonts w:ascii="Times New Roman" w:hAnsi="Times New Roman" w:cs="Times New Roman"/>
                <w:strike/>
                <w:sz w:val="24"/>
                <w:szCs w:val="24"/>
                <w:lang w:val="ru-RU"/>
              </w:rPr>
              <w:t>ЗБ</w:t>
            </w:r>
            <w:r w:rsidRPr="00AB66A4">
              <w:rPr>
                <w:rFonts w:ascii="Times New Roman" w:hAnsi="Times New Roman" w:cs="Times New Roman"/>
                <w:sz w:val="24"/>
                <w:szCs w:val="24"/>
                <w:lang w:val="ru-RU"/>
              </w:rPr>
              <w:t xml:space="preserve"> – зобов’язання, що включають загальну суму зобов’язань (довгостроковихта поточних), у розумінні Закону України «Про бухгалтерський облік та фінансову звітність в Україні» та стандартів бухгалтерського обліку, фінансової звітності,</w:t>
            </w:r>
          </w:p>
          <w:p w14:paraId="70FFD23B" w14:textId="77777777" w:rsidR="00F51BCB" w:rsidRDefault="00F51BCB" w:rsidP="00F51BCB">
            <w:pPr>
              <w:spacing w:after="0" w:line="240" w:lineRule="auto"/>
              <w:ind w:firstLine="709"/>
              <w:jc w:val="both"/>
              <w:rPr>
                <w:rFonts w:ascii="Times New Roman" w:hAnsi="Times New Roman" w:cs="Times New Roman"/>
                <w:sz w:val="24"/>
                <w:szCs w:val="24"/>
                <w:lang w:val="ru-RU"/>
              </w:rPr>
            </w:pPr>
          </w:p>
          <w:p w14:paraId="56B0836A" w14:textId="308ECA9E" w:rsidR="00517624" w:rsidRPr="00AB66A4" w:rsidRDefault="00517624" w:rsidP="00F51BCB">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 xml:space="preserve">ПК – мінімальний розмір початкового капіталу, встановлений законодавством для відповідного виду професійної діяльності на ринках капіталу та організованих товарних ринках, що здійснюється установою; для інвестиційної фірми, що надає додаткові послуги в межах професійної діяльності з торгівлі фінансовими інструментами (субброкерської діяльності, брокерської діяльності та діяльності з управління портфелем фінансових інструментів), а саме здійснює діяльність щодо надання клієнтам кредитів та позик для укладення деривативних контрактів та вчинення правочинів щодо фінансових інструментів, величина мінімального розміру початкового капіталу, встановленого законодавством для відповідного виду діяльності в межах професійної діяльності з торгівлі фінансовими інструментами, для розрахунку нормативу ліквідності активів збільшується на 2,5 млн. грн; </w:t>
            </w:r>
          </w:p>
          <w:p w14:paraId="36D8D6CF" w14:textId="77777777" w:rsidR="00BC212C" w:rsidRPr="00AB66A4" w:rsidRDefault="00517624" w:rsidP="00D1260B">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 xml:space="preserve">при поєднанні установою декількох видів професійної діяльності на ринках капіталу та організованих товарних ринках або провадженні установою декількох видів діяльності в межах одного виду професійної діяльності на ринках капіталу та організованих товарних ринках величина мінімального розміру початкового капіталу для розрахунку нормативу ліквідності активів є більшою з величин мінімального розміру початкового капіталу, встановлених для відповідних видів діяльності, що здійснюються установою; </w:t>
            </w:r>
          </w:p>
          <w:p w14:paraId="4D8A17FA" w14:textId="77777777" w:rsidR="00BC212C" w:rsidRPr="00AB66A4" w:rsidRDefault="00BC212C" w:rsidP="00D1260B">
            <w:pPr>
              <w:spacing w:after="0" w:line="240" w:lineRule="auto"/>
              <w:ind w:firstLine="709"/>
              <w:jc w:val="both"/>
              <w:rPr>
                <w:rFonts w:ascii="Times New Roman" w:hAnsi="Times New Roman" w:cs="Times New Roman"/>
                <w:sz w:val="24"/>
                <w:szCs w:val="24"/>
                <w:lang w:val="ru-RU"/>
              </w:rPr>
            </w:pPr>
          </w:p>
          <w:p w14:paraId="417BCA0C" w14:textId="37B59E63" w:rsidR="00BC212C" w:rsidRPr="00AB66A4" w:rsidRDefault="00517624" w:rsidP="00D1260B">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 xml:space="preserve">професійні учасники ринків капіталу та організованих товарних ринків здійснюють розрахунок нормативу ліквідності активів на основі даних бухгалтерського обліку, що ведеться відповідно до законодавства, та фінансової звітності, складеної </w:t>
            </w:r>
            <w:r w:rsidRPr="00AB66A4">
              <w:rPr>
                <w:rFonts w:ascii="Times New Roman" w:hAnsi="Times New Roman" w:cs="Times New Roman"/>
                <w:sz w:val="24"/>
                <w:szCs w:val="24"/>
                <w:lang w:val="ru-RU"/>
              </w:rPr>
              <w:lastRenderedPageBreak/>
              <w:t xml:space="preserve">відповідно до обраної концептуальної основи Міжнародних стандартів фінансової звітності; </w:t>
            </w:r>
          </w:p>
          <w:p w14:paraId="223B88BC" w14:textId="77777777" w:rsidR="00BC212C" w:rsidRPr="00AB66A4" w:rsidRDefault="00BC212C" w:rsidP="00D1260B">
            <w:pPr>
              <w:spacing w:after="0" w:line="240" w:lineRule="auto"/>
              <w:ind w:firstLine="709"/>
              <w:jc w:val="both"/>
              <w:rPr>
                <w:rFonts w:ascii="Times New Roman" w:hAnsi="Times New Roman" w:cs="Times New Roman"/>
                <w:sz w:val="24"/>
                <w:szCs w:val="24"/>
                <w:lang w:val="ru-RU"/>
              </w:rPr>
            </w:pPr>
          </w:p>
          <w:p w14:paraId="3C0C4F79" w14:textId="77777777" w:rsidR="003B7B8E" w:rsidRDefault="00517624" w:rsidP="00D1260B">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 xml:space="preserve">професійні учасники ринків капіталу та організованих товарних ринків здійснюють розрахунок нормативу ліквідності активів станом на </w:t>
            </w:r>
            <w:r w:rsidRPr="003B7B8E">
              <w:rPr>
                <w:rFonts w:ascii="Times New Roman" w:hAnsi="Times New Roman" w:cs="Times New Roman"/>
                <w:strike/>
                <w:sz w:val="24"/>
                <w:szCs w:val="24"/>
                <w:lang w:val="ru-RU"/>
              </w:rPr>
              <w:t>кінець кожного робочого дня, а також станом на</w:t>
            </w:r>
            <w:r w:rsidRPr="00AB66A4">
              <w:rPr>
                <w:rFonts w:ascii="Times New Roman" w:hAnsi="Times New Roman" w:cs="Times New Roman"/>
                <w:sz w:val="24"/>
                <w:szCs w:val="24"/>
                <w:lang w:val="ru-RU"/>
              </w:rPr>
              <w:t xml:space="preserve"> кінець останнього дня кожного місяця</w:t>
            </w:r>
            <w:r w:rsidR="003B7B8E">
              <w:rPr>
                <w:rFonts w:ascii="Times New Roman" w:hAnsi="Times New Roman" w:cs="Times New Roman"/>
                <w:sz w:val="24"/>
                <w:szCs w:val="24"/>
                <w:lang w:val="ru-RU"/>
              </w:rPr>
              <w:t>, якщо такий день не є робочим;</w:t>
            </w:r>
          </w:p>
          <w:p w14:paraId="4CAE66C1" w14:textId="596613A4" w:rsidR="00517624" w:rsidRPr="00AB66A4" w:rsidRDefault="00517624" w:rsidP="00D1260B">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професійні учасники ринків капіталу та організованих товарних ринків забезпечують фіксацію розрахунку нормативу ліквідності активів та його зберігання на паперових носіях або в електронному вигляді;</w:t>
            </w:r>
          </w:p>
          <w:p w14:paraId="59A8CD82" w14:textId="77777777" w:rsidR="00517624" w:rsidRPr="00AB66A4" w:rsidRDefault="00517624" w:rsidP="00D1260B">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hAnsi="Times New Roman" w:cs="Times New Roman"/>
                <w:sz w:val="24"/>
                <w:szCs w:val="24"/>
                <w:lang w:val="ru-RU"/>
              </w:rPr>
              <w:t xml:space="preserve">інформація про результати розрахунку нормативу ліквідності активів та дані, на основі яких здійснювався розрахунок зазначеного показника, подаються до Національної комісії з цінних паперів та фондового ринку відповідно до пункту 6 рішення Національної комісії з цінних паперів та фондового ринку від 23 квітня 2022 року № 314 «Про подання професійними учасниками ринків капіталу та </w:t>
            </w:r>
            <w:r w:rsidRPr="00AB66A4">
              <w:rPr>
                <w:rFonts w:ascii="Times New Roman" w:eastAsia="Times New Roman" w:hAnsi="Times New Roman" w:cs="Times New Roman"/>
                <w:sz w:val="24"/>
                <w:szCs w:val="24"/>
                <w:lang w:val="ru-RU" w:eastAsia="ru-RU"/>
              </w:rPr>
              <w:t>організованих товарних ринків звітних даних та інших відомостей до Національної комісії з цінних паперів та фондового ринку під час дії воєнного стану» (зі змінами).</w:t>
            </w:r>
          </w:p>
          <w:p w14:paraId="3BE0D46F" w14:textId="77777777" w:rsidR="00517624" w:rsidRPr="00AB66A4" w:rsidRDefault="00517624" w:rsidP="00D1260B">
            <w:pPr>
              <w:spacing w:after="0" w:line="240" w:lineRule="auto"/>
              <w:ind w:firstLine="709"/>
              <w:jc w:val="both"/>
              <w:rPr>
                <w:rFonts w:ascii="Times New Roman" w:hAnsi="Times New Roman" w:cs="Times New Roman"/>
                <w:sz w:val="24"/>
                <w:szCs w:val="24"/>
                <w:lang w:val="ru-RU"/>
              </w:rPr>
            </w:pPr>
          </w:p>
        </w:tc>
        <w:tc>
          <w:tcPr>
            <w:tcW w:w="7394" w:type="dxa"/>
          </w:tcPr>
          <w:p w14:paraId="3B4288DB" w14:textId="193FF960" w:rsidR="00D1260B" w:rsidRPr="00AB66A4" w:rsidRDefault="00D1260B" w:rsidP="00D1260B">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lastRenderedPageBreak/>
              <w:t xml:space="preserve">1. Встановити, що: для вимірювання та оцінки ризиків професійної діяльності на ринках капіталу та організованих товарних ринках використовується норматив ліквідності активів, який розраховується, за формулою </w:t>
            </w:r>
          </w:p>
          <w:p w14:paraId="02890DEF" w14:textId="77777777" w:rsidR="00517624" w:rsidRPr="00AB66A4" w:rsidRDefault="00517624" w:rsidP="001D1E11">
            <w:pPr>
              <w:spacing w:after="0" w:line="360" w:lineRule="auto"/>
              <w:rPr>
                <w:rFonts w:ascii="Times New Roman" w:hAnsi="Times New Roman" w:cs="Times New Roman"/>
                <w:sz w:val="24"/>
                <w:szCs w:val="24"/>
                <w:lang w:val="ru-RU"/>
              </w:rPr>
            </w:pPr>
          </w:p>
          <w:p w14:paraId="464EA966" w14:textId="77777777" w:rsidR="00B318C9" w:rsidRPr="00AB66A4" w:rsidRDefault="00B318C9" w:rsidP="001D1E11">
            <w:pPr>
              <w:spacing w:after="0" w:line="360" w:lineRule="auto"/>
              <w:rPr>
                <w:rFonts w:ascii="Times New Roman" w:hAnsi="Times New Roman" w:cs="Times New Roman"/>
                <w:sz w:val="24"/>
                <w:szCs w:val="24"/>
                <w:lang w:val="ru-RU"/>
              </w:rPr>
            </w:pPr>
          </w:p>
          <w:p w14:paraId="52C57982" w14:textId="77777777" w:rsidR="00B318C9" w:rsidRPr="00AB66A4" w:rsidRDefault="00B318C9" w:rsidP="001D1E11">
            <w:pPr>
              <w:spacing w:after="0" w:line="360" w:lineRule="auto"/>
              <w:rPr>
                <w:rFonts w:ascii="Times New Roman" w:hAnsi="Times New Roman" w:cs="Times New Roman"/>
                <w:sz w:val="24"/>
                <w:szCs w:val="24"/>
                <w:lang w:val="ru-RU"/>
              </w:rPr>
            </w:pPr>
          </w:p>
          <w:p w14:paraId="7EEF5269" w14:textId="77777777" w:rsidR="00AB66A4" w:rsidRDefault="00AB66A4" w:rsidP="001D1E11">
            <w:pPr>
              <w:spacing w:after="0" w:line="360" w:lineRule="auto"/>
              <w:rPr>
                <w:rFonts w:ascii="Times New Roman" w:eastAsia="Times New Roman" w:hAnsi="Times New Roman" w:cs="Times New Roman"/>
                <w:sz w:val="24"/>
                <w:szCs w:val="24"/>
                <w:lang w:val="ru-RU" w:eastAsia="ru-RU"/>
              </w:rPr>
            </w:pPr>
          </w:p>
          <w:p w14:paraId="530C7980" w14:textId="6DA9D8AE" w:rsidR="00385B62" w:rsidRPr="00AB66A4" w:rsidRDefault="00C04E2D" w:rsidP="001D1E11">
            <w:pPr>
              <w:spacing w:after="0" w:line="360" w:lineRule="auto"/>
              <w:rPr>
                <w:rFonts w:ascii="Times New Roman" w:hAnsi="Times New Roman" w:cs="Times New Roman"/>
                <w:sz w:val="24"/>
                <w:szCs w:val="24"/>
                <w:lang w:val="ru-RU"/>
              </w:rPr>
            </w:pPr>
            <w:r w:rsidRPr="003B7B8E">
              <w:rPr>
                <w:rFonts w:ascii="Times New Roman" w:eastAsia="Times New Roman" w:hAnsi="Times New Roman" w:cs="Times New Roman"/>
                <w:sz w:val="24"/>
                <w:szCs w:val="24"/>
                <w:lang w:val="ru-RU" w:eastAsia="ru-RU"/>
              </w:rPr>
              <w:t>(</w:t>
            </w:r>
            <w:r w:rsidR="00D1260B" w:rsidRPr="00AB66A4">
              <w:rPr>
                <w:rFonts w:ascii="Times New Roman" w:eastAsia="Times New Roman" w:hAnsi="Times New Roman" w:cs="Times New Roman"/>
                <w:sz w:val="24"/>
                <w:szCs w:val="24"/>
                <w:lang w:val="ru-RU" w:eastAsia="ru-RU"/>
              </w:rPr>
              <w:t>ГК + ОВДП + ОЗДП</w:t>
            </w:r>
            <w:r w:rsidR="00385B62" w:rsidRPr="00AB66A4">
              <w:rPr>
                <w:rFonts w:ascii="Times New Roman" w:eastAsia="Times New Roman" w:hAnsi="Times New Roman" w:cs="Times New Roman"/>
                <w:sz w:val="24"/>
                <w:szCs w:val="24"/>
                <w:lang w:val="ru-RU" w:eastAsia="ru-RU"/>
              </w:rPr>
              <w:t xml:space="preserve"> </w:t>
            </w:r>
            <w:r w:rsidR="00385B62" w:rsidRPr="00AB66A4">
              <w:rPr>
                <w:rFonts w:ascii="Times New Roman" w:eastAsia="Times New Roman" w:hAnsi="Times New Roman" w:cs="Times New Roman"/>
                <w:b/>
                <w:sz w:val="24"/>
                <w:szCs w:val="24"/>
                <w:lang w:val="ru-RU" w:eastAsia="ru-RU"/>
              </w:rPr>
              <w:t>+ ФІ</w:t>
            </w:r>
            <w:r w:rsidR="00D1260B" w:rsidRPr="00AB66A4">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uk-UA" w:eastAsia="ru-RU"/>
              </w:rPr>
              <w:t xml:space="preserve"> </w:t>
            </w:r>
            <w:r w:rsidR="00F51BCB">
              <w:rPr>
                <w:rFonts w:ascii="Times New Roman" w:eastAsia="Times New Roman" w:hAnsi="Times New Roman" w:cs="Times New Roman"/>
                <w:b/>
                <w:sz w:val="24"/>
                <w:szCs w:val="24"/>
                <w:lang w:val="uk-UA" w:eastAsia="ru-RU"/>
              </w:rPr>
              <w:t>ФЗ</w:t>
            </w:r>
            <w:r w:rsidRPr="003B7B8E">
              <w:rPr>
                <w:rFonts w:ascii="Times New Roman" w:eastAsia="Times New Roman" w:hAnsi="Times New Roman" w:cs="Times New Roman"/>
                <w:sz w:val="24"/>
                <w:szCs w:val="24"/>
                <w:lang w:val="ru-RU" w:eastAsia="ru-RU"/>
              </w:rPr>
              <w:t>)</w:t>
            </w:r>
            <w:r w:rsidR="00D1260B" w:rsidRPr="00AB66A4">
              <w:rPr>
                <w:rFonts w:ascii="Times New Roman" w:eastAsia="Times New Roman" w:hAnsi="Times New Roman" w:cs="Times New Roman"/>
                <w:sz w:val="24"/>
                <w:szCs w:val="24"/>
                <w:lang w:val="ru-RU" w:eastAsia="ru-RU"/>
              </w:rPr>
              <w:t xml:space="preserve"> / ПК</w:t>
            </w:r>
          </w:p>
          <w:p w14:paraId="68948E25" w14:textId="77777777" w:rsidR="00385B62" w:rsidRPr="00AB66A4" w:rsidRDefault="00385B62" w:rsidP="00385B62">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t>де ГК – грошові кошти, що включають кошти установи на поточних рахунках та депозити в банках (крім банків, у яких запроваджено тимчасову адміністрацію або проводиться процедура ліквідації),</w:t>
            </w:r>
          </w:p>
          <w:p w14:paraId="261E1A74" w14:textId="77777777" w:rsidR="00385B62" w:rsidRPr="00AB66A4" w:rsidRDefault="00385B62" w:rsidP="00385B62">
            <w:pPr>
              <w:spacing w:after="0" w:line="240" w:lineRule="auto"/>
              <w:ind w:firstLine="709"/>
              <w:jc w:val="both"/>
              <w:rPr>
                <w:rFonts w:ascii="Times New Roman" w:hAnsi="Times New Roman" w:cs="Times New Roman"/>
                <w:sz w:val="24"/>
                <w:szCs w:val="24"/>
                <w:lang w:val="ru-RU"/>
              </w:rPr>
            </w:pPr>
          </w:p>
          <w:p w14:paraId="6BE99507" w14:textId="77777777" w:rsidR="00385B62" w:rsidRPr="00AB66A4" w:rsidRDefault="00385B62" w:rsidP="00385B62">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ОВДП – облігації внутрішньої державної позики України,</w:t>
            </w:r>
          </w:p>
          <w:p w14:paraId="7B0712EB" w14:textId="77777777" w:rsidR="00385B62" w:rsidRPr="00AB66A4" w:rsidRDefault="00385B62" w:rsidP="00385B62">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ОЗДП – облігації зовнішньої державної позики України,</w:t>
            </w:r>
          </w:p>
          <w:p w14:paraId="3A8C70F9" w14:textId="77777777" w:rsidR="00B318C9" w:rsidRPr="00AB66A4" w:rsidRDefault="00B318C9" w:rsidP="00385B62">
            <w:pPr>
              <w:spacing w:after="0" w:line="240" w:lineRule="auto"/>
              <w:ind w:firstLine="709"/>
              <w:jc w:val="both"/>
              <w:rPr>
                <w:rFonts w:ascii="Times New Roman" w:hAnsi="Times New Roman" w:cs="Times New Roman"/>
                <w:sz w:val="24"/>
                <w:szCs w:val="24"/>
                <w:lang w:val="ru-RU"/>
              </w:rPr>
            </w:pPr>
          </w:p>
          <w:p w14:paraId="586A7B3A" w14:textId="767A5CAE" w:rsidR="00302738" w:rsidRPr="00AB66A4" w:rsidRDefault="00385B62" w:rsidP="00385B62">
            <w:pPr>
              <w:spacing w:after="0" w:line="240" w:lineRule="auto"/>
              <w:ind w:firstLine="709"/>
              <w:jc w:val="both"/>
              <w:rPr>
                <w:rFonts w:ascii="Times New Roman" w:hAnsi="Times New Roman" w:cs="Times New Roman"/>
                <w:b/>
                <w:sz w:val="24"/>
                <w:szCs w:val="24"/>
                <w:lang w:val="ru-RU"/>
              </w:rPr>
            </w:pPr>
            <w:r w:rsidRPr="00AB66A4">
              <w:rPr>
                <w:rFonts w:ascii="Times New Roman" w:hAnsi="Times New Roman" w:cs="Times New Roman"/>
                <w:b/>
                <w:sz w:val="24"/>
                <w:szCs w:val="24"/>
                <w:lang w:val="ru-RU"/>
              </w:rPr>
              <w:t xml:space="preserve">ФІ </w:t>
            </w:r>
            <w:r w:rsidR="00302738" w:rsidRPr="00AB66A4">
              <w:rPr>
                <w:rFonts w:ascii="Times New Roman" w:hAnsi="Times New Roman" w:cs="Times New Roman"/>
                <w:b/>
                <w:sz w:val="24"/>
                <w:szCs w:val="24"/>
                <w:lang w:val="ru-RU"/>
              </w:rPr>
              <w:t>:</w:t>
            </w:r>
          </w:p>
          <w:p w14:paraId="07D8E155" w14:textId="14FB2FE8" w:rsidR="00302738" w:rsidRPr="00AB66A4" w:rsidRDefault="00B318C9" w:rsidP="00385B62">
            <w:pPr>
              <w:spacing w:after="0" w:line="240" w:lineRule="auto"/>
              <w:ind w:firstLine="709"/>
              <w:jc w:val="both"/>
              <w:rPr>
                <w:rFonts w:ascii="Times New Roman" w:hAnsi="Times New Roman" w:cs="Times New Roman"/>
                <w:b/>
                <w:sz w:val="24"/>
                <w:szCs w:val="24"/>
                <w:lang w:val="ru-RU"/>
              </w:rPr>
            </w:pPr>
            <w:r w:rsidRPr="00AB66A4">
              <w:rPr>
                <w:rFonts w:ascii="Times New Roman" w:hAnsi="Times New Roman" w:cs="Times New Roman"/>
                <w:b/>
                <w:sz w:val="24"/>
                <w:szCs w:val="24"/>
                <w:lang w:val="ru-RU"/>
              </w:rPr>
              <w:t>–</w:t>
            </w:r>
            <w:r w:rsidR="00385B62" w:rsidRPr="00AB66A4">
              <w:rPr>
                <w:rFonts w:ascii="Times New Roman" w:hAnsi="Times New Roman" w:cs="Times New Roman"/>
                <w:b/>
                <w:sz w:val="24"/>
                <w:szCs w:val="24"/>
                <w:lang w:val="ru-RU"/>
              </w:rPr>
              <w:t xml:space="preserve"> </w:t>
            </w:r>
            <w:r w:rsidR="004F2326" w:rsidRPr="00AB66A4">
              <w:rPr>
                <w:rFonts w:ascii="Times New Roman" w:hAnsi="Times New Roman" w:cs="Times New Roman"/>
                <w:b/>
                <w:sz w:val="24"/>
                <w:szCs w:val="24"/>
                <w:lang w:val="ru-RU"/>
              </w:rPr>
              <w:t xml:space="preserve">іноземні </w:t>
            </w:r>
            <w:r w:rsidRPr="00AB66A4">
              <w:rPr>
                <w:rFonts w:ascii="Times New Roman" w:hAnsi="Times New Roman" w:cs="Times New Roman"/>
                <w:b/>
                <w:sz w:val="24"/>
                <w:szCs w:val="24"/>
                <w:lang w:val="ru-RU"/>
              </w:rPr>
              <w:t xml:space="preserve">цінні папери, </w:t>
            </w:r>
            <w:r w:rsidR="00302738" w:rsidRPr="00AB66A4">
              <w:rPr>
                <w:rFonts w:ascii="Times New Roman" w:hAnsi="Times New Roman" w:cs="Times New Roman"/>
                <w:b/>
                <w:sz w:val="24"/>
                <w:szCs w:val="24"/>
                <w:lang w:val="ru-RU"/>
              </w:rPr>
              <w:t xml:space="preserve">які допущені до торгів </w:t>
            </w:r>
            <w:r w:rsidR="004F2326" w:rsidRPr="00AB66A4">
              <w:rPr>
                <w:rFonts w:ascii="Times New Roman" w:hAnsi="Times New Roman" w:cs="Times New Roman"/>
                <w:b/>
                <w:sz w:val="24"/>
                <w:szCs w:val="24"/>
                <w:lang w:val="ru-RU"/>
              </w:rPr>
              <w:t xml:space="preserve"> на фондових біржах відповідно до переліку </w:t>
            </w:r>
            <w:r w:rsidR="00302738" w:rsidRPr="00AB66A4">
              <w:rPr>
                <w:rFonts w:ascii="Times New Roman" w:hAnsi="Times New Roman" w:cs="Times New Roman"/>
                <w:b/>
                <w:sz w:val="24"/>
                <w:szCs w:val="24"/>
                <w:lang w:val="ru-RU"/>
              </w:rPr>
              <w:t>іноземних фондових бірж,</w:t>
            </w:r>
            <w:r w:rsidR="00C24269" w:rsidRPr="00AB66A4">
              <w:rPr>
                <w:rFonts w:ascii="Times New Roman" w:hAnsi="Times New Roman" w:cs="Times New Roman"/>
                <w:b/>
                <w:sz w:val="24"/>
                <w:szCs w:val="24"/>
                <w:lang w:val="ru-RU"/>
              </w:rPr>
              <w:t xml:space="preserve"> затвердженого відповідним рішенням Національної комісії з цінних паперів та фондового ринку</w:t>
            </w:r>
            <w:r w:rsidR="00302738" w:rsidRPr="00AB66A4">
              <w:rPr>
                <w:rFonts w:ascii="Times New Roman" w:hAnsi="Times New Roman" w:cs="Times New Roman"/>
                <w:b/>
                <w:sz w:val="24"/>
                <w:szCs w:val="24"/>
                <w:lang w:val="ru-RU"/>
              </w:rPr>
              <w:t>;</w:t>
            </w:r>
          </w:p>
          <w:p w14:paraId="2CA8A9F5" w14:textId="77777777" w:rsidR="003B7B8E" w:rsidRPr="003B7B8E" w:rsidRDefault="00302738" w:rsidP="00385B62">
            <w:pPr>
              <w:spacing w:after="0" w:line="240" w:lineRule="auto"/>
              <w:ind w:firstLine="709"/>
              <w:jc w:val="both"/>
              <w:rPr>
                <w:rFonts w:ascii="Times New Roman" w:hAnsi="Times New Roman" w:cs="Times New Roman"/>
                <w:b/>
                <w:sz w:val="24"/>
                <w:szCs w:val="24"/>
                <w:lang w:val="ru-RU"/>
              </w:rPr>
            </w:pPr>
            <w:r w:rsidRPr="00AB66A4">
              <w:rPr>
                <w:rFonts w:ascii="Times New Roman" w:hAnsi="Times New Roman" w:cs="Times New Roman"/>
                <w:b/>
                <w:sz w:val="24"/>
                <w:szCs w:val="24"/>
                <w:lang w:val="ru-RU"/>
              </w:rPr>
              <w:t>-</w:t>
            </w:r>
            <w:r w:rsidR="00B318C9" w:rsidRPr="00AB66A4">
              <w:rPr>
                <w:rFonts w:ascii="Times New Roman" w:hAnsi="Times New Roman" w:cs="Times New Roman"/>
                <w:b/>
                <w:sz w:val="24"/>
                <w:szCs w:val="24"/>
                <w:lang w:val="ru-RU"/>
              </w:rPr>
              <w:t xml:space="preserve"> </w:t>
            </w:r>
            <w:r w:rsidR="00AB66A4">
              <w:rPr>
                <w:rFonts w:ascii="Times New Roman" w:hAnsi="Times New Roman" w:cs="Times New Roman"/>
                <w:b/>
                <w:sz w:val="24"/>
                <w:szCs w:val="24"/>
                <w:lang w:val="ru-RU"/>
              </w:rPr>
              <w:t xml:space="preserve">цінні папери українських </w:t>
            </w:r>
            <w:r w:rsidR="00B318C9" w:rsidRPr="00AB66A4">
              <w:rPr>
                <w:rFonts w:ascii="Times New Roman" w:hAnsi="Times New Roman" w:cs="Times New Roman"/>
                <w:b/>
                <w:sz w:val="24"/>
                <w:szCs w:val="24"/>
                <w:lang w:val="ru-RU"/>
              </w:rPr>
              <w:t>емітентів</w:t>
            </w:r>
            <w:r w:rsidR="00AB66A4">
              <w:rPr>
                <w:rFonts w:ascii="Times New Roman" w:hAnsi="Times New Roman" w:cs="Times New Roman"/>
                <w:b/>
                <w:sz w:val="24"/>
                <w:szCs w:val="24"/>
                <w:lang w:val="ru-RU"/>
              </w:rPr>
              <w:t xml:space="preserve">, </w:t>
            </w:r>
            <w:r w:rsidR="00B318C9" w:rsidRPr="00AB66A4">
              <w:rPr>
                <w:rFonts w:ascii="Times New Roman" w:hAnsi="Times New Roman" w:cs="Times New Roman"/>
                <w:b/>
                <w:sz w:val="24"/>
                <w:szCs w:val="24"/>
                <w:lang w:val="ru-RU"/>
              </w:rPr>
              <w:t>щодо яких встановлено біржовий курс після дати повном</w:t>
            </w:r>
            <w:r w:rsidR="004F2326" w:rsidRPr="00AB66A4">
              <w:rPr>
                <w:rFonts w:ascii="Times New Roman" w:hAnsi="Times New Roman" w:cs="Times New Roman"/>
                <w:b/>
                <w:sz w:val="24"/>
                <w:szCs w:val="24"/>
                <w:lang w:val="ru-RU"/>
              </w:rPr>
              <w:t xml:space="preserve">асштабного </w:t>
            </w:r>
            <w:r w:rsidR="004F2326" w:rsidRPr="003B7B8E">
              <w:rPr>
                <w:rFonts w:ascii="Times New Roman" w:hAnsi="Times New Roman" w:cs="Times New Roman"/>
                <w:b/>
                <w:lang w:val="ru-RU"/>
              </w:rPr>
              <w:t xml:space="preserve">воєнного </w:t>
            </w:r>
            <w:r w:rsidR="004F2326" w:rsidRPr="003B7B8E">
              <w:rPr>
                <w:rFonts w:ascii="Times New Roman" w:hAnsi="Times New Roman" w:cs="Times New Roman"/>
                <w:b/>
                <w:sz w:val="24"/>
                <w:szCs w:val="24"/>
                <w:lang w:val="ru-RU"/>
              </w:rPr>
              <w:t>вторгнення</w:t>
            </w:r>
            <w:r w:rsidR="00AB66A4" w:rsidRPr="003B7B8E">
              <w:rPr>
                <w:rFonts w:ascii="Times New Roman" w:hAnsi="Times New Roman" w:cs="Times New Roman"/>
                <w:b/>
                <w:sz w:val="24"/>
                <w:szCs w:val="24"/>
                <w:lang w:val="ru-RU"/>
              </w:rPr>
              <w:t xml:space="preserve"> на територію України</w:t>
            </w:r>
            <w:r w:rsidR="003B7B8E" w:rsidRPr="003B7B8E">
              <w:rPr>
                <w:rFonts w:ascii="Times New Roman" w:hAnsi="Times New Roman" w:cs="Times New Roman"/>
                <w:b/>
                <w:sz w:val="24"/>
                <w:szCs w:val="24"/>
                <w:lang w:val="ru-RU"/>
              </w:rPr>
              <w:t>;</w:t>
            </w:r>
          </w:p>
          <w:p w14:paraId="25D20E8C" w14:textId="1E2A236A" w:rsidR="00B318C9" w:rsidRPr="00AB66A4" w:rsidRDefault="003B7B8E" w:rsidP="00F51BCB">
            <w:pPr>
              <w:spacing w:after="0" w:line="240" w:lineRule="auto"/>
              <w:ind w:firstLine="709"/>
              <w:jc w:val="both"/>
              <w:rPr>
                <w:rFonts w:ascii="Times New Roman" w:hAnsi="Times New Roman" w:cs="Times New Roman"/>
                <w:b/>
                <w:sz w:val="24"/>
                <w:szCs w:val="24"/>
                <w:lang w:val="ru-RU"/>
              </w:rPr>
            </w:pPr>
            <w:r w:rsidRPr="003B7B8E">
              <w:rPr>
                <w:rFonts w:ascii="Times New Roman" w:hAnsi="Times New Roman" w:cs="Times New Roman"/>
                <w:b/>
                <w:sz w:val="24"/>
                <w:szCs w:val="24"/>
                <w:lang w:val="ru-RU"/>
              </w:rPr>
              <w:t xml:space="preserve">- </w:t>
            </w:r>
            <w:r w:rsidRPr="003B7B8E">
              <w:rPr>
                <w:rStyle w:val="ad"/>
                <w:rFonts w:ascii="Times New Roman" w:eastAsia="Times New Roman" w:hAnsi="Times New Roman" w:cs="Times New Roman"/>
                <w:color w:val="000000"/>
                <w:sz w:val="24"/>
                <w:szCs w:val="24"/>
                <w:lang w:val="ru-RU"/>
              </w:rPr>
              <w:t>інвестиційн</w:t>
            </w:r>
            <w:r w:rsidRPr="003B7B8E">
              <w:rPr>
                <w:rStyle w:val="ad"/>
                <w:rFonts w:ascii="Times New Roman" w:eastAsia="Times New Roman" w:hAnsi="Times New Roman" w:cs="Times New Roman"/>
                <w:color w:val="000000"/>
                <w:sz w:val="24"/>
                <w:szCs w:val="24"/>
                <w:lang w:val="uk-UA"/>
              </w:rPr>
              <w:t>і</w:t>
            </w:r>
            <w:r w:rsidRPr="003B7B8E">
              <w:rPr>
                <w:rStyle w:val="ad"/>
                <w:rFonts w:ascii="Times New Roman" w:eastAsia="Times New Roman" w:hAnsi="Times New Roman" w:cs="Times New Roman"/>
                <w:color w:val="000000"/>
                <w:sz w:val="24"/>
                <w:szCs w:val="24"/>
                <w:lang w:val="ru-RU"/>
              </w:rPr>
              <w:t xml:space="preserve"> сертифікаиів відкритих спеціалізованих </w:t>
            </w:r>
            <w:r w:rsidRPr="003B7B8E">
              <w:rPr>
                <w:rStyle w:val="ad"/>
                <w:rFonts w:ascii="Times New Roman" w:eastAsia="Times New Roman" w:hAnsi="Times New Roman" w:cs="Times New Roman"/>
                <w:color w:val="000000"/>
                <w:sz w:val="24"/>
                <w:szCs w:val="24"/>
                <w:lang w:val="ru-RU"/>
              </w:rPr>
              <w:lastRenderedPageBreak/>
              <w:t>інвестиційних фондів грошового ринку</w:t>
            </w:r>
            <w:r w:rsidRPr="003B7B8E">
              <w:rPr>
                <w:rFonts w:ascii="Times New Roman" w:hAnsi="Times New Roman" w:cs="Times New Roman"/>
                <w:b/>
                <w:sz w:val="24"/>
                <w:szCs w:val="24"/>
                <w:lang w:val="ru-RU"/>
              </w:rPr>
              <w:t>,</w:t>
            </w:r>
          </w:p>
          <w:p w14:paraId="596DB86E" w14:textId="7506BA68" w:rsidR="00385B62" w:rsidRPr="003B7B8E" w:rsidRDefault="00F51BCB" w:rsidP="00385B62">
            <w:pPr>
              <w:spacing w:after="0" w:line="240" w:lineRule="auto"/>
              <w:ind w:firstLine="709"/>
              <w:jc w:val="both"/>
              <w:rPr>
                <w:rFonts w:ascii="Times New Roman" w:hAnsi="Times New Roman" w:cs="Times New Roman"/>
                <w:b/>
                <w:sz w:val="24"/>
                <w:szCs w:val="24"/>
                <w:lang w:val="ru-RU"/>
              </w:rPr>
            </w:pPr>
            <w:r>
              <w:rPr>
                <w:rFonts w:ascii="Times New Roman" w:hAnsi="Times New Roman" w:cs="Times New Roman"/>
                <w:b/>
                <w:sz w:val="24"/>
                <w:szCs w:val="24"/>
                <w:lang w:val="ru-RU"/>
              </w:rPr>
              <w:t>ФЗ</w:t>
            </w:r>
            <w:r w:rsidR="00385B62" w:rsidRPr="00AB66A4">
              <w:rPr>
                <w:rFonts w:ascii="Times New Roman" w:hAnsi="Times New Roman" w:cs="Times New Roman"/>
                <w:sz w:val="24"/>
                <w:szCs w:val="24"/>
                <w:lang w:val="ru-RU"/>
              </w:rPr>
              <w:t xml:space="preserve"> – </w:t>
            </w:r>
            <w:r w:rsidRPr="00F51BCB">
              <w:rPr>
                <w:rFonts w:ascii="Times New Roman" w:hAnsi="Times New Roman" w:cs="Times New Roman"/>
                <w:b/>
                <w:sz w:val="24"/>
                <w:szCs w:val="24"/>
                <w:lang w:val="ru-RU"/>
              </w:rPr>
              <w:t xml:space="preserve">фінансові зобов’язання в розумінні Міжнародних стандартів </w:t>
            </w:r>
            <w:r>
              <w:rPr>
                <w:rFonts w:ascii="Times New Roman" w:hAnsi="Times New Roman" w:cs="Times New Roman"/>
                <w:b/>
                <w:sz w:val="24"/>
                <w:szCs w:val="24"/>
                <w:lang w:val="ru-RU"/>
              </w:rPr>
              <w:t>фінансової звітності</w:t>
            </w:r>
            <w:r w:rsidR="00385B62" w:rsidRPr="00F51BCB">
              <w:rPr>
                <w:rFonts w:ascii="Times New Roman" w:hAnsi="Times New Roman" w:cs="Times New Roman"/>
                <w:b/>
                <w:sz w:val="24"/>
                <w:szCs w:val="24"/>
                <w:lang w:val="ru-RU"/>
              </w:rPr>
              <w:t>,</w:t>
            </w:r>
            <w:r w:rsidR="00E555EF" w:rsidRPr="00F51BCB">
              <w:rPr>
                <w:rFonts w:ascii="Times New Roman" w:hAnsi="Times New Roman" w:cs="Times New Roman"/>
                <w:b/>
                <w:sz w:val="24"/>
                <w:szCs w:val="24"/>
                <w:lang w:val="ru-RU"/>
              </w:rPr>
              <w:t xml:space="preserve"> </w:t>
            </w:r>
            <w:r w:rsidR="00E555EF" w:rsidRPr="003B7B8E">
              <w:rPr>
                <w:rFonts w:ascii="Times New Roman" w:hAnsi="Times New Roman" w:cs="Times New Roman"/>
                <w:b/>
                <w:sz w:val="24"/>
                <w:szCs w:val="24"/>
                <w:lang w:val="ru-RU"/>
              </w:rPr>
              <w:t>за виключенням зобов’язань за другою частиною біржової операції РЕПО.</w:t>
            </w:r>
          </w:p>
          <w:p w14:paraId="3917FEBE" w14:textId="77777777" w:rsidR="00385B62" w:rsidRPr="00AB66A4" w:rsidRDefault="00385B62" w:rsidP="001D1E11">
            <w:pPr>
              <w:spacing w:after="0" w:line="360" w:lineRule="auto"/>
              <w:rPr>
                <w:rFonts w:ascii="Times New Roman" w:hAnsi="Times New Roman" w:cs="Times New Roman"/>
                <w:sz w:val="24"/>
                <w:szCs w:val="24"/>
                <w:lang w:val="ru-RU"/>
              </w:rPr>
            </w:pPr>
          </w:p>
          <w:p w14:paraId="30AB47FD" w14:textId="77777777" w:rsidR="00B318C9" w:rsidRPr="00AB66A4" w:rsidRDefault="00B318C9" w:rsidP="00B318C9">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 xml:space="preserve">ПК – мінімальний розмір початкового капіталу, встановлений законодавством для відповідного виду професійної діяльності на ринках капіталу та організованих товарних ринках, що здійснюється установою; для інвестиційної фірми, що надає додаткові послуги в межах професійної діяльності з торгівлі фінансовими інструментами (субброкерської діяльності, брокерської діяльності та діяльності з управління портфелем фінансових інструментів), а саме здійснює діяльність щодо надання клієнтам кредитів та позик для укладення деривативних контрактів та вчинення правочинів щодо фінансових інструментів, величина мінімального розміру початкового капіталу, встановленого законодавством для відповідного виду діяльності в межах професійної діяльності з торгівлі фінансовими інструментами, для розрахунку нормативу ліквідності активів збільшується на 2,5 млн. грн; </w:t>
            </w:r>
          </w:p>
          <w:p w14:paraId="732962B0" w14:textId="77777777" w:rsidR="00BC212C" w:rsidRPr="00AB66A4" w:rsidRDefault="00B318C9" w:rsidP="00B318C9">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 xml:space="preserve">при поєднанні установою декількох видів професійної діяльності на ринках капіталу та організованих товарних ринках або провадженні установою декількох видів діяльності в межах одного виду професійної діяльності на ринках капіталу та організованих товарних ринках величина мінімального розміру початкового капіталу для розрахунку нормативу ліквідності активів є більшою з величин мінімального розміру початкового капіталу, встановлених для відповідних видів діяльності, що здійснюються установою; </w:t>
            </w:r>
          </w:p>
          <w:p w14:paraId="6361B7E6" w14:textId="77777777" w:rsidR="00BC212C" w:rsidRPr="00AB66A4" w:rsidRDefault="00BC212C" w:rsidP="00B318C9">
            <w:pPr>
              <w:spacing w:after="0" w:line="240" w:lineRule="auto"/>
              <w:ind w:firstLine="709"/>
              <w:jc w:val="both"/>
              <w:rPr>
                <w:rFonts w:ascii="Times New Roman" w:hAnsi="Times New Roman" w:cs="Times New Roman"/>
                <w:sz w:val="24"/>
                <w:szCs w:val="24"/>
                <w:lang w:val="ru-RU"/>
              </w:rPr>
            </w:pPr>
          </w:p>
          <w:p w14:paraId="60F94DC4" w14:textId="15BBDEDE" w:rsidR="00BC212C" w:rsidRPr="00AB66A4" w:rsidRDefault="00B318C9" w:rsidP="00B318C9">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 xml:space="preserve">професійні учасники ринків капіталу та організованих товарних ринків здійснюють розрахунок нормативу ліквідності активів на основі даних бухгалтерського обліку, що ведеться відповідно до законодавства, та фінансової звітності, складеної відповідно до обраної концептуальної основи Міжнародних </w:t>
            </w:r>
            <w:r w:rsidRPr="00AB66A4">
              <w:rPr>
                <w:rFonts w:ascii="Times New Roman" w:hAnsi="Times New Roman" w:cs="Times New Roman"/>
                <w:sz w:val="24"/>
                <w:szCs w:val="24"/>
                <w:lang w:val="ru-RU"/>
              </w:rPr>
              <w:lastRenderedPageBreak/>
              <w:t xml:space="preserve">стандартів фінансової звітності; </w:t>
            </w:r>
          </w:p>
          <w:p w14:paraId="45C6ADC2" w14:textId="77777777" w:rsidR="00BC212C" w:rsidRPr="00AB66A4" w:rsidRDefault="00BC212C" w:rsidP="00B318C9">
            <w:pPr>
              <w:spacing w:after="0" w:line="240" w:lineRule="auto"/>
              <w:ind w:firstLine="709"/>
              <w:jc w:val="both"/>
              <w:rPr>
                <w:rFonts w:ascii="Times New Roman" w:hAnsi="Times New Roman" w:cs="Times New Roman"/>
                <w:sz w:val="24"/>
                <w:szCs w:val="24"/>
                <w:lang w:val="ru-RU"/>
              </w:rPr>
            </w:pPr>
          </w:p>
          <w:p w14:paraId="5E8990BE" w14:textId="77777777" w:rsidR="003B7B8E" w:rsidRDefault="00B318C9" w:rsidP="00B318C9">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професійні учасники ринків капіталу та організованих товарних ринків здійснюють розрахунок нормативу ліквідності активів станом на кінець останнього дня кожного місяця</w:t>
            </w:r>
            <w:r w:rsidR="003B7B8E">
              <w:rPr>
                <w:rFonts w:ascii="Times New Roman" w:hAnsi="Times New Roman" w:cs="Times New Roman"/>
                <w:sz w:val="24"/>
                <w:szCs w:val="24"/>
                <w:lang w:val="ru-RU"/>
              </w:rPr>
              <w:t>, якщо такий день не є робочим;</w:t>
            </w:r>
          </w:p>
          <w:p w14:paraId="35F5865C" w14:textId="6CC862F7" w:rsidR="00B318C9" w:rsidRPr="00AB66A4" w:rsidRDefault="00B318C9" w:rsidP="00B318C9">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професійні учасники ринків капіталу та організованих товарних ринків забезпечують фіксацію розрахунку нормативу ліквідності активів та його зберігання на паперових носіях або в електронному вигляді;</w:t>
            </w:r>
          </w:p>
          <w:p w14:paraId="0290302F" w14:textId="725BEEA3" w:rsidR="00D1260B" w:rsidRPr="00AB66A4" w:rsidRDefault="00B318C9" w:rsidP="00B318C9">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hAnsi="Times New Roman" w:cs="Times New Roman"/>
                <w:sz w:val="24"/>
                <w:szCs w:val="24"/>
                <w:lang w:val="ru-RU"/>
              </w:rPr>
              <w:t xml:space="preserve">інформація про результати розрахунку нормативу ліквідності активів та дані, на основі яких здійснювався розрахунок зазначеного показника, подаються до Національної комісії з цінних паперів та фондового ринку відповідно до пункту 6 рішення Національної комісії з цінних паперів та фондового ринку від 23 квітня 2022 року № 314 «Про подання професійними учасниками ринків капіталу та </w:t>
            </w:r>
            <w:r w:rsidRPr="00AB66A4">
              <w:rPr>
                <w:rFonts w:ascii="Times New Roman" w:eastAsia="Times New Roman" w:hAnsi="Times New Roman" w:cs="Times New Roman"/>
                <w:sz w:val="24"/>
                <w:szCs w:val="24"/>
                <w:lang w:val="ru-RU" w:eastAsia="ru-RU"/>
              </w:rPr>
              <w:t>організованих товарних ринків звітних даних та інших відомостей до Національної комісії з цінних паперів та фондового ринку під час дії воєнного стану» (зі змінами).</w:t>
            </w:r>
          </w:p>
          <w:p w14:paraId="709535AA" w14:textId="77777777" w:rsidR="00D1260B" w:rsidRPr="00AB66A4" w:rsidRDefault="00D1260B" w:rsidP="001D1E11">
            <w:pPr>
              <w:spacing w:after="0" w:line="360" w:lineRule="auto"/>
              <w:rPr>
                <w:rFonts w:ascii="Times New Roman" w:hAnsi="Times New Roman" w:cs="Times New Roman"/>
                <w:sz w:val="24"/>
                <w:szCs w:val="24"/>
                <w:lang w:val="ru-RU"/>
              </w:rPr>
            </w:pPr>
          </w:p>
        </w:tc>
        <w:bookmarkStart w:id="0" w:name="_GoBack"/>
        <w:bookmarkEnd w:id="0"/>
      </w:tr>
      <w:tr w:rsidR="00517624" w:rsidRPr="00B2025A" w14:paraId="68F49BE6" w14:textId="77777777" w:rsidTr="00517624">
        <w:tc>
          <w:tcPr>
            <w:tcW w:w="7394" w:type="dxa"/>
          </w:tcPr>
          <w:p w14:paraId="46A89532" w14:textId="5E82C255" w:rsidR="00517624" w:rsidRPr="00AB66A4" w:rsidRDefault="00517624" w:rsidP="00D1260B">
            <w:pPr>
              <w:spacing w:after="0" w:line="240" w:lineRule="auto"/>
              <w:ind w:firstLine="709"/>
              <w:jc w:val="both"/>
              <w:rPr>
                <w:rFonts w:ascii="Times New Roman" w:eastAsia="Times New Roman" w:hAnsi="Times New Roman" w:cs="Times New Roman"/>
                <w:strike/>
                <w:sz w:val="24"/>
                <w:szCs w:val="24"/>
                <w:lang w:val="ru-RU" w:eastAsia="ru-RU"/>
              </w:rPr>
            </w:pPr>
            <w:r w:rsidRPr="00AB66A4">
              <w:rPr>
                <w:rFonts w:ascii="Times New Roman" w:eastAsia="Times New Roman" w:hAnsi="Times New Roman" w:cs="Times New Roman"/>
                <w:sz w:val="24"/>
                <w:szCs w:val="24"/>
                <w:lang w:val="ru-RU" w:eastAsia="ru-RU"/>
              </w:rPr>
              <w:lastRenderedPageBreak/>
              <w:t xml:space="preserve">2. Встановити, що нормативне значення нормативу ліквідності активів, передбаченого пунктом 1 цього рішення, становить: з 01 січня 2023 року – не менше 0,3; </w:t>
            </w:r>
            <w:r w:rsidRPr="00AB66A4">
              <w:rPr>
                <w:rFonts w:ascii="Times New Roman" w:eastAsia="Times New Roman" w:hAnsi="Times New Roman" w:cs="Times New Roman"/>
                <w:strike/>
                <w:sz w:val="24"/>
                <w:szCs w:val="24"/>
                <w:lang w:val="ru-RU" w:eastAsia="ru-RU"/>
              </w:rPr>
              <w:t>з 01 липня 2023 року – не менше 0,5; з 01 січня 2024 року – не менше 1.</w:t>
            </w:r>
          </w:p>
          <w:p w14:paraId="4C7087EA" w14:textId="77777777" w:rsidR="00517624" w:rsidRPr="00AB66A4" w:rsidRDefault="00517624" w:rsidP="00D1260B">
            <w:pPr>
              <w:spacing w:after="0" w:line="240" w:lineRule="auto"/>
              <w:ind w:firstLine="709"/>
              <w:jc w:val="both"/>
              <w:rPr>
                <w:rFonts w:ascii="Times New Roman" w:hAnsi="Times New Roman" w:cs="Times New Roman"/>
                <w:sz w:val="24"/>
                <w:szCs w:val="24"/>
                <w:lang w:val="ru-RU"/>
              </w:rPr>
            </w:pPr>
          </w:p>
        </w:tc>
        <w:tc>
          <w:tcPr>
            <w:tcW w:w="7394" w:type="dxa"/>
          </w:tcPr>
          <w:p w14:paraId="141AF34D" w14:textId="453B913F" w:rsidR="00517624" w:rsidRPr="00AB66A4" w:rsidRDefault="00B318C9" w:rsidP="00B318C9">
            <w:pPr>
              <w:spacing w:after="0" w:line="240" w:lineRule="auto"/>
              <w:ind w:firstLine="709"/>
              <w:jc w:val="both"/>
              <w:rPr>
                <w:rFonts w:ascii="Times New Roman" w:hAnsi="Times New Roman" w:cs="Times New Roman"/>
                <w:sz w:val="24"/>
                <w:szCs w:val="24"/>
                <w:lang w:val="ru-RU"/>
              </w:rPr>
            </w:pPr>
            <w:r w:rsidRPr="00AB66A4">
              <w:rPr>
                <w:rFonts w:ascii="Times New Roman" w:eastAsia="Times New Roman" w:hAnsi="Times New Roman" w:cs="Times New Roman"/>
                <w:sz w:val="24"/>
                <w:szCs w:val="24"/>
                <w:lang w:val="ru-RU" w:eastAsia="ru-RU"/>
              </w:rPr>
              <w:t xml:space="preserve">2. Встановити, що нормативне значення нормативу ліквідності активів, передбаченого пунктом 1 цього рішення, становить: з 01 січня 2023 року – не менше 0,3. </w:t>
            </w:r>
          </w:p>
        </w:tc>
      </w:tr>
      <w:tr w:rsidR="00517624" w:rsidRPr="00B2025A" w14:paraId="5BC60814" w14:textId="77777777" w:rsidTr="00517624">
        <w:tc>
          <w:tcPr>
            <w:tcW w:w="7394" w:type="dxa"/>
          </w:tcPr>
          <w:p w14:paraId="0B0DB8F9" w14:textId="77777777" w:rsidR="00517624" w:rsidRPr="00AB66A4" w:rsidRDefault="00517624" w:rsidP="00D1260B">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t xml:space="preserve">3. Для професійних учасників ринків капіталу та організованих товарних ринків, які отримали ліцензію з 01 січня 2023 року, нормативне значення нормативу ліквідності активів, передбаченого пунктом 1 цього рішення, становить не менше </w:t>
            </w:r>
            <w:r w:rsidRPr="00AB66A4">
              <w:rPr>
                <w:rFonts w:ascii="Times New Roman" w:eastAsia="Times New Roman" w:hAnsi="Times New Roman" w:cs="Times New Roman"/>
                <w:strike/>
                <w:sz w:val="24"/>
                <w:szCs w:val="24"/>
                <w:lang w:val="ru-RU" w:eastAsia="ru-RU"/>
              </w:rPr>
              <w:t>1</w:t>
            </w:r>
            <w:r w:rsidRPr="00AB66A4">
              <w:rPr>
                <w:rFonts w:ascii="Times New Roman" w:eastAsia="Times New Roman" w:hAnsi="Times New Roman" w:cs="Times New Roman"/>
                <w:sz w:val="24"/>
                <w:szCs w:val="24"/>
                <w:lang w:val="ru-RU" w:eastAsia="ru-RU"/>
              </w:rPr>
              <w:t>.</w:t>
            </w:r>
          </w:p>
          <w:p w14:paraId="287DE9F2" w14:textId="77777777" w:rsidR="00517624" w:rsidRPr="00AB66A4" w:rsidRDefault="00517624" w:rsidP="00D1260B">
            <w:pPr>
              <w:spacing w:after="0" w:line="240" w:lineRule="auto"/>
              <w:ind w:firstLine="709"/>
              <w:jc w:val="both"/>
              <w:rPr>
                <w:rFonts w:ascii="Times New Roman" w:hAnsi="Times New Roman" w:cs="Times New Roman"/>
                <w:sz w:val="24"/>
                <w:szCs w:val="24"/>
                <w:lang w:val="ru-RU"/>
              </w:rPr>
            </w:pPr>
          </w:p>
        </w:tc>
        <w:tc>
          <w:tcPr>
            <w:tcW w:w="7394" w:type="dxa"/>
          </w:tcPr>
          <w:p w14:paraId="0184B951" w14:textId="2FB8DA50" w:rsidR="00517624" w:rsidRPr="00AB66A4" w:rsidRDefault="00897145" w:rsidP="00897145">
            <w:pPr>
              <w:spacing w:after="0" w:line="240" w:lineRule="auto"/>
              <w:ind w:firstLine="709"/>
              <w:rPr>
                <w:rFonts w:ascii="Times New Roman" w:hAnsi="Times New Roman" w:cs="Times New Roman"/>
                <w:sz w:val="24"/>
                <w:szCs w:val="24"/>
                <w:lang w:val="ru-RU"/>
              </w:rPr>
            </w:pPr>
            <w:r w:rsidRPr="00AB66A4">
              <w:rPr>
                <w:rFonts w:ascii="Times New Roman" w:eastAsia="Times New Roman" w:hAnsi="Times New Roman" w:cs="Times New Roman"/>
                <w:sz w:val="24"/>
                <w:szCs w:val="24"/>
                <w:lang w:val="ru-RU" w:eastAsia="ru-RU"/>
              </w:rPr>
              <w:t xml:space="preserve">3. </w:t>
            </w:r>
            <w:r w:rsidR="00B318C9" w:rsidRPr="00AB66A4">
              <w:rPr>
                <w:rFonts w:ascii="Times New Roman" w:eastAsia="Times New Roman" w:hAnsi="Times New Roman" w:cs="Times New Roman"/>
                <w:sz w:val="24"/>
                <w:szCs w:val="24"/>
                <w:lang w:val="ru-RU" w:eastAsia="ru-RU"/>
              </w:rPr>
              <w:t xml:space="preserve">Для професійних учасників ринків капіталу та організованих товарних ринків, які отримали ліцензію з 01 січня 2023 року, нормативне значення нормативу ліквідності активів, передбаченого пунктом 1 цього рішення, становить не менше </w:t>
            </w:r>
            <w:r w:rsidR="00B318C9" w:rsidRPr="00AB66A4">
              <w:rPr>
                <w:rFonts w:ascii="Times New Roman" w:eastAsia="Times New Roman" w:hAnsi="Times New Roman" w:cs="Times New Roman"/>
                <w:b/>
                <w:sz w:val="24"/>
                <w:szCs w:val="24"/>
                <w:lang w:val="ru-RU" w:eastAsia="ru-RU"/>
              </w:rPr>
              <w:t>0,5.</w:t>
            </w:r>
          </w:p>
        </w:tc>
      </w:tr>
      <w:tr w:rsidR="00517624" w:rsidRPr="00B2025A" w14:paraId="6A3858BD" w14:textId="77777777" w:rsidTr="00517624">
        <w:tc>
          <w:tcPr>
            <w:tcW w:w="7394" w:type="dxa"/>
          </w:tcPr>
          <w:p w14:paraId="5730D52F" w14:textId="77777777" w:rsidR="00517624" w:rsidRPr="00AB66A4" w:rsidRDefault="00517624" w:rsidP="00D1260B">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t xml:space="preserve">4. Невиконання професійним учасником ринків капіталу та </w:t>
            </w:r>
            <w:r w:rsidRPr="00AB66A4">
              <w:rPr>
                <w:rFonts w:ascii="Times New Roman" w:eastAsia="Times New Roman" w:hAnsi="Times New Roman" w:cs="Times New Roman"/>
                <w:sz w:val="24"/>
                <w:szCs w:val="24"/>
                <w:lang w:val="ru-RU" w:eastAsia="ru-RU"/>
              </w:rPr>
              <w:lastRenderedPageBreak/>
              <w:t>організованих товарних ринків вимог цього рішення щодо нормативного значення нормативу ліквідності активів є порушенням Ліцензійних умов провадження професійної діяльності на ринках капіталу та організованих товарних ринках.</w:t>
            </w:r>
          </w:p>
          <w:p w14:paraId="076F634A" w14:textId="77777777" w:rsidR="00517624" w:rsidRPr="00AB66A4" w:rsidRDefault="00517624" w:rsidP="00D1260B">
            <w:pPr>
              <w:spacing w:after="0" w:line="240" w:lineRule="auto"/>
              <w:ind w:firstLine="709"/>
              <w:jc w:val="both"/>
              <w:rPr>
                <w:rFonts w:ascii="Times New Roman" w:hAnsi="Times New Roman" w:cs="Times New Roman"/>
                <w:sz w:val="24"/>
                <w:szCs w:val="24"/>
                <w:lang w:val="ru-RU"/>
              </w:rPr>
            </w:pPr>
          </w:p>
        </w:tc>
        <w:tc>
          <w:tcPr>
            <w:tcW w:w="7394" w:type="dxa"/>
          </w:tcPr>
          <w:p w14:paraId="1A75AE9F" w14:textId="77777777" w:rsidR="00897145" w:rsidRPr="00AB66A4" w:rsidRDefault="00897145" w:rsidP="00897145">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lastRenderedPageBreak/>
              <w:t xml:space="preserve">4. Невиконання професійним учасником ринків капіталу та </w:t>
            </w:r>
            <w:r w:rsidRPr="00AB66A4">
              <w:rPr>
                <w:rFonts w:ascii="Times New Roman" w:eastAsia="Times New Roman" w:hAnsi="Times New Roman" w:cs="Times New Roman"/>
                <w:sz w:val="24"/>
                <w:szCs w:val="24"/>
                <w:lang w:val="ru-RU" w:eastAsia="ru-RU"/>
              </w:rPr>
              <w:lastRenderedPageBreak/>
              <w:t>організованих товарних ринків вимог цього рішення щодо нормативного значення нормативу ліквідності активів є порушенням Ліцензійних умов провадження професійної діяльності на ринках капіталу та організованих товарних ринках.</w:t>
            </w:r>
          </w:p>
          <w:p w14:paraId="5740C0FC" w14:textId="77777777" w:rsidR="00517624" w:rsidRPr="00AB66A4" w:rsidRDefault="00517624" w:rsidP="001D1E11">
            <w:pPr>
              <w:spacing w:after="0" w:line="360" w:lineRule="auto"/>
              <w:rPr>
                <w:rFonts w:ascii="Times New Roman" w:hAnsi="Times New Roman" w:cs="Times New Roman"/>
                <w:sz w:val="24"/>
                <w:szCs w:val="24"/>
                <w:lang w:val="ru-RU"/>
              </w:rPr>
            </w:pPr>
          </w:p>
        </w:tc>
      </w:tr>
      <w:tr w:rsidR="00517624" w:rsidRPr="00B2025A" w14:paraId="10D738A6" w14:textId="77777777" w:rsidTr="00517624">
        <w:tc>
          <w:tcPr>
            <w:tcW w:w="7394" w:type="dxa"/>
          </w:tcPr>
          <w:p w14:paraId="0EB138A9" w14:textId="77777777" w:rsidR="00517624" w:rsidRPr="00AB66A4" w:rsidRDefault="00517624" w:rsidP="00D1260B">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lastRenderedPageBreak/>
              <w:t>5. Для виконання вимог цього рішення дозволити депозитарним установам бути депонентами іншої депозитарної установи, яким рахунок у цінних паперах в такій депозитарній установі відкривається як юридичній особі - резиденту для обліку державних цінних паперів, які належать ним на праві власності.</w:t>
            </w:r>
          </w:p>
          <w:p w14:paraId="3FD75162" w14:textId="77777777" w:rsidR="00517624" w:rsidRPr="00AB66A4" w:rsidRDefault="00517624" w:rsidP="00D1260B">
            <w:pPr>
              <w:spacing w:after="0" w:line="240" w:lineRule="auto"/>
              <w:ind w:firstLine="709"/>
              <w:jc w:val="both"/>
              <w:rPr>
                <w:rFonts w:ascii="Times New Roman" w:hAnsi="Times New Roman" w:cs="Times New Roman"/>
                <w:sz w:val="24"/>
                <w:szCs w:val="24"/>
                <w:lang w:val="ru-RU"/>
              </w:rPr>
            </w:pPr>
          </w:p>
        </w:tc>
        <w:tc>
          <w:tcPr>
            <w:tcW w:w="7394" w:type="dxa"/>
          </w:tcPr>
          <w:p w14:paraId="35D2A859" w14:textId="77777777" w:rsidR="00897145" w:rsidRPr="00AB66A4" w:rsidRDefault="00897145" w:rsidP="00897145">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t>5. Для виконання вимог цього рішення дозволити депозитарним установам бути депонентами іншої депозитарної установи, яким рахунок у цінних паперах в такій депозитарній установі відкривається як юридичній особі - резиденту для обліку державних цінних паперів, які належать ним на праві власності.</w:t>
            </w:r>
          </w:p>
          <w:p w14:paraId="4259F9F6" w14:textId="77777777" w:rsidR="00517624" w:rsidRPr="00AB66A4" w:rsidRDefault="00517624" w:rsidP="001D1E11">
            <w:pPr>
              <w:spacing w:after="0" w:line="360" w:lineRule="auto"/>
              <w:rPr>
                <w:rFonts w:ascii="Times New Roman" w:hAnsi="Times New Roman" w:cs="Times New Roman"/>
                <w:sz w:val="24"/>
                <w:szCs w:val="24"/>
                <w:lang w:val="ru-RU"/>
              </w:rPr>
            </w:pPr>
          </w:p>
        </w:tc>
      </w:tr>
      <w:tr w:rsidR="00517624" w:rsidRPr="00B2025A" w14:paraId="6C61F047" w14:textId="77777777" w:rsidTr="00517624">
        <w:tc>
          <w:tcPr>
            <w:tcW w:w="7394" w:type="dxa"/>
          </w:tcPr>
          <w:p w14:paraId="2BA4E976" w14:textId="77777777" w:rsidR="00517624" w:rsidRPr="00AB66A4" w:rsidRDefault="00517624" w:rsidP="00D1260B">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t xml:space="preserve">6. У процесі нагляду за дотриманням вимог цього рішення щодо нормативного значення нормативу ліквідності активів до професійних учасників ринків капіталу та організованих товарних ринків застосовуються норми Положення про нагляд за дотриманням пруденційних нормативів професійними учасниками фондового ринку, затвердженого рішенням Національної комісії з цінних паперів та фондового ринку від 01 грудня 2015 року № 2021, зареєстрованого в Міністерстві юстиції України 21 грудня 2015 року за № 1599/28044 (далі – Положення), що встановлюють порядок нагляду за дотриманням пруденційних нормативів, розрахунок яких здійснюється станом на кінець кожного робочого дня, та передбачають підготовку плану заходів щодо поліпшення свого фінансового стану (далі – план заходів) у разі недотримання професійним учасником ринків капіталу та організованих товарних ринків нормативного значення нормативу ліквідності активів, з урахуванням наступного: план заходів має бути наданий до Комісії на розгляд та погодження протягом 7 робочих днів від дня виникнення відхилення розрахункового значення нормативу ліквідності активів від його нормативного значення. Комісія здійснює розгляд плану заходів, за результатом якого може бути винесено рішення про його погодження або про відмову в </w:t>
            </w:r>
            <w:r w:rsidRPr="00AB66A4">
              <w:rPr>
                <w:rFonts w:ascii="Times New Roman" w:eastAsia="Times New Roman" w:hAnsi="Times New Roman" w:cs="Times New Roman"/>
                <w:sz w:val="24"/>
                <w:szCs w:val="24"/>
                <w:lang w:val="ru-RU" w:eastAsia="ru-RU"/>
              </w:rPr>
              <w:lastRenderedPageBreak/>
              <w:t>погодженні; строк реалізації плану заходів не повинен перевищувати 30 календарних днів з дати його погодження Комісією, яке здійснюється протягом 10 робочих днів з дня надходження плану заходів до Комісії; протягом 3 робочих днів після реалізації плану заходів до Комісії надається звіт про результати його реалізації разом із копіями підтверджуючих документів. У разі, якщо значення нормативу ліквідності активів приведено у відповідність до встановленого нормативного значення після дати виникнення відхилення до дати погодження Комісією плану заходів, до Комісії подається інформація про факт відхилення розрахункового значення нормативу ліквідності активів від його нормативного значення із зазначенням розрахункового значення пруденційного показника, даних, на основі яких здійснювався розрахунок, та дати виникнення відхилення, а також щодо приведення значення нормативу ліквідності активів до його нормативного значення із зазначенням розрахункового значення пруденційного показника, даних, на основі яких здійснювався розрахунок, та дати, на яку показник було приведено у відповідність до нормативного значення, із доданням підтверджуючих документів у строк протягом 3 робочих днів після приведення нормативу ліквідності активів у відповідність до встановленого нормативного значення.</w:t>
            </w:r>
          </w:p>
          <w:p w14:paraId="709D0D56" w14:textId="77777777" w:rsidR="00517624" w:rsidRPr="00AB66A4" w:rsidRDefault="00517624" w:rsidP="00D1260B">
            <w:pPr>
              <w:spacing w:after="0" w:line="240" w:lineRule="auto"/>
              <w:ind w:firstLine="709"/>
              <w:jc w:val="both"/>
              <w:rPr>
                <w:rFonts w:ascii="Times New Roman" w:eastAsia="Times New Roman" w:hAnsi="Times New Roman" w:cs="Times New Roman"/>
                <w:sz w:val="24"/>
                <w:szCs w:val="24"/>
                <w:lang w:val="ru-RU" w:eastAsia="ru-RU"/>
              </w:rPr>
            </w:pPr>
          </w:p>
          <w:p w14:paraId="5415824B" w14:textId="77777777" w:rsidR="00517624" w:rsidRPr="00AB66A4" w:rsidRDefault="00517624" w:rsidP="00D1260B">
            <w:pPr>
              <w:spacing w:after="0" w:line="240" w:lineRule="auto"/>
              <w:ind w:firstLine="709"/>
              <w:jc w:val="both"/>
              <w:rPr>
                <w:rFonts w:ascii="Times New Roman" w:hAnsi="Times New Roman" w:cs="Times New Roman"/>
                <w:sz w:val="24"/>
                <w:szCs w:val="24"/>
                <w:lang w:val="ru-RU"/>
              </w:rPr>
            </w:pPr>
            <w:r w:rsidRPr="00AB66A4">
              <w:rPr>
                <w:rFonts w:ascii="Times New Roman" w:hAnsi="Times New Roman" w:cs="Times New Roman"/>
                <w:sz w:val="24"/>
                <w:szCs w:val="24"/>
                <w:lang w:val="ru-RU"/>
              </w:rPr>
              <w:t>7. Це рішення набирає чинності з 01 жовтня 2022 року.</w:t>
            </w:r>
          </w:p>
        </w:tc>
        <w:tc>
          <w:tcPr>
            <w:tcW w:w="7394" w:type="dxa"/>
          </w:tcPr>
          <w:p w14:paraId="7B1BD083" w14:textId="77777777" w:rsidR="00897145" w:rsidRPr="00AB66A4" w:rsidRDefault="00897145" w:rsidP="00897145">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lastRenderedPageBreak/>
              <w:t xml:space="preserve">6. У процесі нагляду за дотриманням вимог цього рішення щодо нормативного значення нормативу ліквідності активів до професійних учасників ринків капіталу та організованих товарних ринків застосовуються норми Положення про нагляд за дотриманням пруденційних нормативів професійними учасниками фондового ринку, затвердженого рішенням Національної комісії з цінних паперів та фондового ринку від 01 грудня 2015 року № 2021, зареєстрованого в Міністерстві юстиції України 21 грудня 2015 року за № 1599/28044 (далі – Положення), що встановлюють порядок нагляду за дотриманням пруденційних нормативів, розрахунок яких здійснюється станом на кінець кожного робочого дня, та передбачають підготовку плану заходів щодо поліпшення свого фінансового стану (далі – план заходів) у разі недотримання професійним учасником ринків капіталу та організованих товарних ринків нормативного значення нормативу ліквідності активів, з урахуванням наступного: план заходів має бути наданий до Комісії на розгляд та погодження протягом 7 робочих днів від дня виникнення відхилення розрахункового значення нормативу ліквідності активів від його нормативного значення. Комісія здійснює розгляд плану заходів, за результатом якого може бути винесено рішення про його погодження або про відмову в </w:t>
            </w:r>
            <w:r w:rsidRPr="00AB66A4">
              <w:rPr>
                <w:rFonts w:ascii="Times New Roman" w:eastAsia="Times New Roman" w:hAnsi="Times New Roman" w:cs="Times New Roman"/>
                <w:sz w:val="24"/>
                <w:szCs w:val="24"/>
                <w:lang w:val="ru-RU" w:eastAsia="ru-RU"/>
              </w:rPr>
              <w:lastRenderedPageBreak/>
              <w:t>погодженні; строк реалізації плану заходів не повинен перевищувати 30 календарних днів з дати його погодження Комісією, яке здійснюється протягом 10 робочих днів з дня надходження плану заходів до Комісії; протягом 3 робочих днів після реалізації плану заходів до Комісії надається звіт про результати його реалізації разом із копіями підтверджуючих документів. У разі, якщо значення нормативу ліквідності активів приведено у відповідність до встановленого нормативного значення після дати виникнення відхилення до дати погодження Комісією плану заходів, до Комісії подається інформація про факт відхилення розрахункового значення нормативу ліквідності активів від його нормативного значення із зазначенням розрахункового значення пруденційного показника, даних, на основі яких здійснювався розрахунок, та дати виникнення відхилення, а також щодо приведення значення нормативу ліквідності активів до його нормативного значення із зазначенням розрахункового значення пруденційного показника, даних, на основі яких здійснювався розрахунок, та дати, на яку показник було приведено у відповідність до нормативного значення, із доданням підтверджуючих документів у строк протягом 3 робочих днів після приведення нормативу ліквідності активів у відповідність до встановленого нормативного значення.</w:t>
            </w:r>
          </w:p>
          <w:p w14:paraId="751B2653" w14:textId="77777777" w:rsidR="00897145" w:rsidRPr="00AB66A4" w:rsidRDefault="00897145" w:rsidP="00897145">
            <w:pPr>
              <w:spacing w:after="0" w:line="240" w:lineRule="auto"/>
              <w:ind w:firstLine="709"/>
              <w:jc w:val="both"/>
              <w:rPr>
                <w:rFonts w:ascii="Times New Roman" w:eastAsia="Times New Roman" w:hAnsi="Times New Roman" w:cs="Times New Roman"/>
                <w:sz w:val="24"/>
                <w:szCs w:val="24"/>
                <w:lang w:val="ru-RU" w:eastAsia="ru-RU"/>
              </w:rPr>
            </w:pPr>
          </w:p>
          <w:p w14:paraId="5834605F" w14:textId="2D9A3E5B" w:rsidR="00517624" w:rsidRPr="00AB66A4" w:rsidRDefault="00897145" w:rsidP="00897145">
            <w:pPr>
              <w:spacing w:after="0" w:line="360" w:lineRule="auto"/>
              <w:rPr>
                <w:rFonts w:ascii="Times New Roman" w:hAnsi="Times New Roman" w:cs="Times New Roman"/>
                <w:sz w:val="24"/>
                <w:szCs w:val="24"/>
                <w:lang w:val="ru-RU"/>
              </w:rPr>
            </w:pPr>
            <w:r w:rsidRPr="00AB66A4">
              <w:rPr>
                <w:rFonts w:ascii="Times New Roman" w:hAnsi="Times New Roman" w:cs="Times New Roman"/>
                <w:sz w:val="24"/>
                <w:szCs w:val="24"/>
                <w:lang w:val="ru-RU"/>
              </w:rPr>
              <w:t>7. Це рішення набирає чинності з 01 жовтня 2022 року.</w:t>
            </w:r>
          </w:p>
        </w:tc>
      </w:tr>
      <w:tr w:rsidR="00517624" w:rsidRPr="00B2025A" w14:paraId="440EE92D" w14:textId="77777777" w:rsidTr="00517624">
        <w:tc>
          <w:tcPr>
            <w:tcW w:w="7394" w:type="dxa"/>
          </w:tcPr>
          <w:p w14:paraId="044BD6D9" w14:textId="77777777" w:rsidR="00517624" w:rsidRPr="00AB66A4" w:rsidRDefault="00517624" w:rsidP="00D1260B">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lastRenderedPageBreak/>
              <w:t>8. Професійним учасникам ринків капіталу та організованих товарних ринків привести свою діяльність у відповідність до вимог цього рішення до 01 січня 2023 року</w:t>
            </w:r>
          </w:p>
          <w:p w14:paraId="6C7DEA77" w14:textId="77777777" w:rsidR="00517624" w:rsidRPr="00AB66A4" w:rsidRDefault="00517624" w:rsidP="00D1260B">
            <w:pPr>
              <w:spacing w:after="0" w:line="240" w:lineRule="auto"/>
              <w:ind w:firstLine="709"/>
              <w:jc w:val="both"/>
              <w:rPr>
                <w:rFonts w:ascii="Times New Roman" w:hAnsi="Times New Roman" w:cs="Times New Roman"/>
                <w:sz w:val="24"/>
                <w:szCs w:val="24"/>
                <w:lang w:val="ru-RU"/>
              </w:rPr>
            </w:pPr>
          </w:p>
        </w:tc>
        <w:tc>
          <w:tcPr>
            <w:tcW w:w="7394" w:type="dxa"/>
          </w:tcPr>
          <w:p w14:paraId="522EF544" w14:textId="77777777" w:rsidR="00897145" w:rsidRPr="00AB66A4" w:rsidRDefault="00897145" w:rsidP="00897145">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t>8. Професійним учасникам ринків капіталу та організованих товарних ринків привести свою діяльність у відповідність до вимог цього рішення до 01 січня 2023 року</w:t>
            </w:r>
          </w:p>
          <w:p w14:paraId="3598DACE" w14:textId="77777777" w:rsidR="00517624" w:rsidRPr="00AB66A4" w:rsidRDefault="00517624" w:rsidP="001D1E11">
            <w:pPr>
              <w:spacing w:after="0" w:line="360" w:lineRule="auto"/>
              <w:rPr>
                <w:rFonts w:ascii="Times New Roman" w:hAnsi="Times New Roman" w:cs="Times New Roman"/>
                <w:sz w:val="24"/>
                <w:szCs w:val="24"/>
                <w:lang w:val="ru-RU"/>
              </w:rPr>
            </w:pPr>
          </w:p>
        </w:tc>
      </w:tr>
      <w:tr w:rsidR="00517624" w:rsidRPr="00B2025A" w14:paraId="107CAD8F" w14:textId="77777777" w:rsidTr="00517624">
        <w:tc>
          <w:tcPr>
            <w:tcW w:w="7394" w:type="dxa"/>
          </w:tcPr>
          <w:p w14:paraId="0B14431C" w14:textId="77777777" w:rsidR="00517624" w:rsidRPr="00AB66A4" w:rsidRDefault="00517624" w:rsidP="00D1260B">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t>9. Контроль за виконанням цього рішення покласти на членів Національної комісії з цінних паперів та фондового ринку відповідно до розподілу повноважень.</w:t>
            </w:r>
          </w:p>
          <w:p w14:paraId="235F41E5" w14:textId="77777777" w:rsidR="00517624" w:rsidRPr="00AB66A4" w:rsidRDefault="00517624" w:rsidP="00D1260B">
            <w:pPr>
              <w:spacing w:after="0" w:line="240" w:lineRule="auto"/>
              <w:ind w:firstLine="709"/>
              <w:jc w:val="both"/>
              <w:rPr>
                <w:rFonts w:ascii="Times New Roman" w:hAnsi="Times New Roman" w:cs="Times New Roman"/>
                <w:sz w:val="24"/>
                <w:szCs w:val="24"/>
                <w:lang w:val="ru-RU"/>
              </w:rPr>
            </w:pPr>
          </w:p>
        </w:tc>
        <w:tc>
          <w:tcPr>
            <w:tcW w:w="7394" w:type="dxa"/>
          </w:tcPr>
          <w:p w14:paraId="5E6D5A9E" w14:textId="77777777" w:rsidR="00897145" w:rsidRPr="00AB66A4" w:rsidRDefault="00897145" w:rsidP="00897145">
            <w:pPr>
              <w:spacing w:after="0" w:line="240" w:lineRule="auto"/>
              <w:ind w:firstLine="709"/>
              <w:jc w:val="both"/>
              <w:rPr>
                <w:rFonts w:ascii="Times New Roman" w:eastAsia="Times New Roman" w:hAnsi="Times New Roman" w:cs="Times New Roman"/>
                <w:sz w:val="24"/>
                <w:szCs w:val="24"/>
                <w:lang w:val="ru-RU" w:eastAsia="ru-RU"/>
              </w:rPr>
            </w:pPr>
            <w:r w:rsidRPr="00AB66A4">
              <w:rPr>
                <w:rFonts w:ascii="Times New Roman" w:eastAsia="Times New Roman" w:hAnsi="Times New Roman" w:cs="Times New Roman"/>
                <w:sz w:val="24"/>
                <w:szCs w:val="24"/>
                <w:lang w:val="ru-RU" w:eastAsia="ru-RU"/>
              </w:rPr>
              <w:t>9. Контроль за виконанням цього рішення покласти на членів Національної комісії з цінних паперів та фондового ринку відповідно до розподілу повноважень.</w:t>
            </w:r>
          </w:p>
          <w:p w14:paraId="186FB4ED" w14:textId="77777777" w:rsidR="00517624" w:rsidRPr="00AB66A4" w:rsidRDefault="00517624" w:rsidP="001D1E11">
            <w:pPr>
              <w:spacing w:after="0" w:line="360" w:lineRule="auto"/>
              <w:rPr>
                <w:rFonts w:ascii="Times New Roman" w:hAnsi="Times New Roman" w:cs="Times New Roman"/>
                <w:sz w:val="24"/>
                <w:szCs w:val="24"/>
                <w:lang w:val="ru-RU"/>
              </w:rPr>
            </w:pPr>
          </w:p>
        </w:tc>
      </w:tr>
    </w:tbl>
    <w:p w14:paraId="1A1B090A" w14:textId="77777777" w:rsidR="00623D41" w:rsidRPr="00AB66A4" w:rsidRDefault="00623D41" w:rsidP="00AB66A4">
      <w:pPr>
        <w:spacing w:after="0" w:line="360" w:lineRule="auto"/>
        <w:rPr>
          <w:rFonts w:ascii="Times New Roman" w:hAnsi="Times New Roman" w:cs="Times New Roman"/>
          <w:sz w:val="20"/>
          <w:szCs w:val="20"/>
          <w:lang w:val="ru-RU"/>
        </w:rPr>
      </w:pPr>
    </w:p>
    <w:sectPr w:rsidR="00623D41" w:rsidRPr="00AB66A4" w:rsidSect="00B2025A">
      <w:headerReference w:type="first" r:id="rId7"/>
      <w:pgSz w:w="16840" w:h="11900"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7C4D7" w14:textId="77777777" w:rsidR="00045D3A" w:rsidRDefault="00045D3A" w:rsidP="00B2025A">
      <w:pPr>
        <w:spacing w:after="0" w:line="240" w:lineRule="auto"/>
      </w:pPr>
      <w:r>
        <w:separator/>
      </w:r>
    </w:p>
  </w:endnote>
  <w:endnote w:type="continuationSeparator" w:id="0">
    <w:p w14:paraId="5DEFF5D8" w14:textId="77777777" w:rsidR="00045D3A" w:rsidRDefault="00045D3A" w:rsidP="00B2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CC"/>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6C003" w14:textId="77777777" w:rsidR="00045D3A" w:rsidRDefault="00045D3A" w:rsidP="00B2025A">
      <w:pPr>
        <w:spacing w:after="0" w:line="240" w:lineRule="auto"/>
      </w:pPr>
      <w:r>
        <w:separator/>
      </w:r>
    </w:p>
  </w:footnote>
  <w:footnote w:type="continuationSeparator" w:id="0">
    <w:p w14:paraId="6D191B70" w14:textId="77777777" w:rsidR="00045D3A" w:rsidRDefault="00045D3A" w:rsidP="00B202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A3035" w14:textId="4DBF2C53" w:rsidR="00B2025A" w:rsidRDefault="00B2025A" w:rsidP="00B2025A">
    <w:pPr>
      <w:pStyle w:val="ae"/>
      <w:jc w:val="right"/>
    </w:pPr>
    <w:r w:rsidRPr="00F51BCB">
      <w:rPr>
        <w:rFonts w:ascii="Times New Roman" w:hAnsi="Times New Roman" w:cs="Times New Roman"/>
        <w:i/>
        <w:sz w:val="24"/>
        <w:szCs w:val="26"/>
        <w:lang w:val="uk-UA" w:eastAsia="uk-UA"/>
      </w:rPr>
      <w:t>Додаток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417"/>
    <w:rsid w:val="00045D3A"/>
    <w:rsid w:val="000A15D6"/>
    <w:rsid w:val="001D1E11"/>
    <w:rsid w:val="00302738"/>
    <w:rsid w:val="00320DEB"/>
    <w:rsid w:val="00385B62"/>
    <w:rsid w:val="003B7B8E"/>
    <w:rsid w:val="004978AF"/>
    <w:rsid w:val="004F2326"/>
    <w:rsid w:val="00517624"/>
    <w:rsid w:val="00623D41"/>
    <w:rsid w:val="00897145"/>
    <w:rsid w:val="008B13E1"/>
    <w:rsid w:val="00972352"/>
    <w:rsid w:val="009974A3"/>
    <w:rsid w:val="00A54417"/>
    <w:rsid w:val="00AB66A4"/>
    <w:rsid w:val="00B2025A"/>
    <w:rsid w:val="00B318C9"/>
    <w:rsid w:val="00BC212C"/>
    <w:rsid w:val="00C04E2D"/>
    <w:rsid w:val="00C24269"/>
    <w:rsid w:val="00CC29B3"/>
    <w:rsid w:val="00D1260B"/>
    <w:rsid w:val="00DF65F7"/>
    <w:rsid w:val="00E555EF"/>
    <w:rsid w:val="00E61391"/>
    <w:rsid w:val="00F51BCB"/>
    <w:rsid w:val="00FE0FFC"/>
    <w:rsid w:val="00FE628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DB4E23"/>
  <w14:defaultImageDpi w14:val="300"/>
  <w15:docId w15:val="{6D3A0EB8-B5F3-4C3A-A43B-B4F1098AE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417"/>
    <w:pPr>
      <w:spacing w:after="120" w:line="280" w:lineRule="exact"/>
    </w:pPr>
    <w:rPr>
      <w:rFonts w:eastAsiaTheme="minorHAnsi"/>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54417"/>
    <w:rPr>
      <w:rFonts w:eastAsiaTheme="minorHAns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A54417"/>
    <w:rPr>
      <w:color w:val="0000FF"/>
      <w:u w:val="single"/>
    </w:rPr>
  </w:style>
  <w:style w:type="paragraph" w:customStyle="1" w:styleId="Default">
    <w:name w:val="Default"/>
    <w:rsid w:val="00A54417"/>
    <w:pPr>
      <w:autoSpaceDE w:val="0"/>
      <w:autoSpaceDN w:val="0"/>
      <w:adjustRightInd w:val="0"/>
    </w:pPr>
    <w:rPr>
      <w:rFonts w:ascii="Times New Roman" w:eastAsiaTheme="minorHAnsi" w:hAnsi="Times New Roman" w:cs="Times New Roman"/>
      <w:color w:val="000000"/>
      <w:lang w:val="en-GB" w:eastAsia="en-US"/>
    </w:rPr>
  </w:style>
  <w:style w:type="paragraph" w:styleId="a5">
    <w:name w:val="List Paragraph"/>
    <w:basedOn w:val="a"/>
    <w:uiPriority w:val="34"/>
    <w:qFormat/>
    <w:rsid w:val="00517624"/>
    <w:pPr>
      <w:ind w:left="720"/>
      <w:contextualSpacing/>
    </w:pPr>
  </w:style>
  <w:style w:type="paragraph" w:styleId="a6">
    <w:name w:val="Balloon Text"/>
    <w:basedOn w:val="a"/>
    <w:link w:val="a7"/>
    <w:uiPriority w:val="99"/>
    <w:semiHidden/>
    <w:unhideWhenUsed/>
    <w:rsid w:val="00DF65F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F65F7"/>
    <w:rPr>
      <w:rFonts w:ascii="Tahoma" w:eastAsiaTheme="minorHAnsi" w:hAnsi="Tahoma" w:cs="Tahoma"/>
      <w:sz w:val="16"/>
      <w:szCs w:val="16"/>
      <w:lang w:val="en-GB" w:eastAsia="en-US"/>
    </w:rPr>
  </w:style>
  <w:style w:type="character" w:styleId="a8">
    <w:name w:val="annotation reference"/>
    <w:basedOn w:val="a0"/>
    <w:uiPriority w:val="99"/>
    <w:semiHidden/>
    <w:unhideWhenUsed/>
    <w:rsid w:val="00972352"/>
    <w:rPr>
      <w:sz w:val="16"/>
      <w:szCs w:val="16"/>
    </w:rPr>
  </w:style>
  <w:style w:type="paragraph" w:styleId="a9">
    <w:name w:val="annotation text"/>
    <w:basedOn w:val="a"/>
    <w:link w:val="aa"/>
    <w:uiPriority w:val="99"/>
    <w:semiHidden/>
    <w:unhideWhenUsed/>
    <w:rsid w:val="00972352"/>
    <w:pPr>
      <w:spacing w:line="240" w:lineRule="auto"/>
    </w:pPr>
    <w:rPr>
      <w:sz w:val="20"/>
      <w:szCs w:val="20"/>
    </w:rPr>
  </w:style>
  <w:style w:type="character" w:customStyle="1" w:styleId="aa">
    <w:name w:val="Текст примечания Знак"/>
    <w:basedOn w:val="a0"/>
    <w:link w:val="a9"/>
    <w:uiPriority w:val="99"/>
    <w:semiHidden/>
    <w:rsid w:val="00972352"/>
    <w:rPr>
      <w:rFonts w:eastAsiaTheme="minorHAnsi"/>
      <w:sz w:val="20"/>
      <w:szCs w:val="20"/>
      <w:lang w:val="en-GB" w:eastAsia="en-US"/>
    </w:rPr>
  </w:style>
  <w:style w:type="paragraph" w:styleId="ab">
    <w:name w:val="annotation subject"/>
    <w:basedOn w:val="a9"/>
    <w:next w:val="a9"/>
    <w:link w:val="ac"/>
    <w:uiPriority w:val="99"/>
    <w:semiHidden/>
    <w:unhideWhenUsed/>
    <w:rsid w:val="00972352"/>
    <w:rPr>
      <w:b/>
      <w:bCs/>
    </w:rPr>
  </w:style>
  <w:style w:type="character" w:customStyle="1" w:styleId="ac">
    <w:name w:val="Тема примечания Знак"/>
    <w:basedOn w:val="aa"/>
    <w:link w:val="ab"/>
    <w:uiPriority w:val="99"/>
    <w:semiHidden/>
    <w:rsid w:val="00972352"/>
    <w:rPr>
      <w:rFonts w:eastAsiaTheme="minorHAnsi"/>
      <w:b/>
      <w:bCs/>
      <w:sz w:val="20"/>
      <w:szCs w:val="20"/>
      <w:lang w:val="en-GB" w:eastAsia="en-US"/>
    </w:rPr>
  </w:style>
  <w:style w:type="character" w:styleId="ad">
    <w:name w:val="Strong"/>
    <w:basedOn w:val="a0"/>
    <w:uiPriority w:val="22"/>
    <w:qFormat/>
    <w:rsid w:val="003B7B8E"/>
    <w:rPr>
      <w:b/>
      <w:bCs/>
    </w:rPr>
  </w:style>
  <w:style w:type="paragraph" w:styleId="ae">
    <w:name w:val="header"/>
    <w:basedOn w:val="a"/>
    <w:link w:val="af"/>
    <w:uiPriority w:val="99"/>
    <w:unhideWhenUsed/>
    <w:rsid w:val="00B2025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2025A"/>
    <w:rPr>
      <w:rFonts w:eastAsiaTheme="minorHAnsi"/>
      <w:sz w:val="22"/>
      <w:szCs w:val="22"/>
      <w:lang w:val="en-GB" w:eastAsia="en-US"/>
    </w:rPr>
  </w:style>
  <w:style w:type="paragraph" w:styleId="af0">
    <w:name w:val="footer"/>
    <w:basedOn w:val="a"/>
    <w:link w:val="af1"/>
    <w:uiPriority w:val="99"/>
    <w:unhideWhenUsed/>
    <w:rsid w:val="00B2025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2025A"/>
    <w:rPr>
      <w:rFonts w:eastAsiaTheme="minorHAns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230117">
      <w:bodyDiv w:val="1"/>
      <w:marLeft w:val="0"/>
      <w:marRight w:val="0"/>
      <w:marTop w:val="0"/>
      <w:marBottom w:val="0"/>
      <w:divBdr>
        <w:top w:val="none" w:sz="0" w:space="0" w:color="auto"/>
        <w:left w:val="none" w:sz="0" w:space="0" w:color="auto"/>
        <w:bottom w:val="none" w:sz="0" w:space="0" w:color="auto"/>
        <w:right w:val="none" w:sz="0" w:space="0" w:color="auto"/>
      </w:divBdr>
    </w:div>
    <w:div w:id="260723941">
      <w:bodyDiv w:val="1"/>
      <w:marLeft w:val="0"/>
      <w:marRight w:val="0"/>
      <w:marTop w:val="0"/>
      <w:marBottom w:val="0"/>
      <w:divBdr>
        <w:top w:val="none" w:sz="0" w:space="0" w:color="auto"/>
        <w:left w:val="none" w:sz="0" w:space="0" w:color="auto"/>
        <w:bottom w:val="none" w:sz="0" w:space="0" w:color="auto"/>
        <w:right w:val="none" w:sz="0" w:space="0" w:color="auto"/>
      </w:divBdr>
    </w:div>
    <w:div w:id="331420548">
      <w:bodyDiv w:val="1"/>
      <w:marLeft w:val="0"/>
      <w:marRight w:val="0"/>
      <w:marTop w:val="0"/>
      <w:marBottom w:val="0"/>
      <w:divBdr>
        <w:top w:val="none" w:sz="0" w:space="0" w:color="auto"/>
        <w:left w:val="none" w:sz="0" w:space="0" w:color="auto"/>
        <w:bottom w:val="none" w:sz="0" w:space="0" w:color="auto"/>
        <w:right w:val="none" w:sz="0" w:space="0" w:color="auto"/>
      </w:divBdr>
    </w:div>
    <w:div w:id="404959629">
      <w:bodyDiv w:val="1"/>
      <w:marLeft w:val="0"/>
      <w:marRight w:val="0"/>
      <w:marTop w:val="0"/>
      <w:marBottom w:val="0"/>
      <w:divBdr>
        <w:top w:val="none" w:sz="0" w:space="0" w:color="auto"/>
        <w:left w:val="none" w:sz="0" w:space="0" w:color="auto"/>
        <w:bottom w:val="none" w:sz="0" w:space="0" w:color="auto"/>
        <w:right w:val="none" w:sz="0" w:space="0" w:color="auto"/>
      </w:divBdr>
    </w:div>
    <w:div w:id="411392915">
      <w:bodyDiv w:val="1"/>
      <w:marLeft w:val="0"/>
      <w:marRight w:val="0"/>
      <w:marTop w:val="0"/>
      <w:marBottom w:val="0"/>
      <w:divBdr>
        <w:top w:val="none" w:sz="0" w:space="0" w:color="auto"/>
        <w:left w:val="none" w:sz="0" w:space="0" w:color="auto"/>
        <w:bottom w:val="none" w:sz="0" w:space="0" w:color="auto"/>
        <w:right w:val="none" w:sz="0" w:space="0" w:color="auto"/>
      </w:divBdr>
    </w:div>
    <w:div w:id="714159599">
      <w:bodyDiv w:val="1"/>
      <w:marLeft w:val="0"/>
      <w:marRight w:val="0"/>
      <w:marTop w:val="0"/>
      <w:marBottom w:val="0"/>
      <w:divBdr>
        <w:top w:val="none" w:sz="0" w:space="0" w:color="auto"/>
        <w:left w:val="none" w:sz="0" w:space="0" w:color="auto"/>
        <w:bottom w:val="none" w:sz="0" w:space="0" w:color="auto"/>
        <w:right w:val="none" w:sz="0" w:space="0" w:color="auto"/>
      </w:divBdr>
    </w:div>
    <w:div w:id="826628488">
      <w:bodyDiv w:val="1"/>
      <w:marLeft w:val="0"/>
      <w:marRight w:val="0"/>
      <w:marTop w:val="0"/>
      <w:marBottom w:val="0"/>
      <w:divBdr>
        <w:top w:val="none" w:sz="0" w:space="0" w:color="auto"/>
        <w:left w:val="none" w:sz="0" w:space="0" w:color="auto"/>
        <w:bottom w:val="none" w:sz="0" w:space="0" w:color="auto"/>
        <w:right w:val="none" w:sz="0" w:space="0" w:color="auto"/>
      </w:divBdr>
    </w:div>
    <w:div w:id="830684203">
      <w:bodyDiv w:val="1"/>
      <w:marLeft w:val="0"/>
      <w:marRight w:val="0"/>
      <w:marTop w:val="0"/>
      <w:marBottom w:val="0"/>
      <w:divBdr>
        <w:top w:val="none" w:sz="0" w:space="0" w:color="auto"/>
        <w:left w:val="none" w:sz="0" w:space="0" w:color="auto"/>
        <w:bottom w:val="none" w:sz="0" w:space="0" w:color="auto"/>
        <w:right w:val="none" w:sz="0" w:space="0" w:color="auto"/>
      </w:divBdr>
    </w:div>
    <w:div w:id="931204335">
      <w:bodyDiv w:val="1"/>
      <w:marLeft w:val="0"/>
      <w:marRight w:val="0"/>
      <w:marTop w:val="0"/>
      <w:marBottom w:val="0"/>
      <w:divBdr>
        <w:top w:val="none" w:sz="0" w:space="0" w:color="auto"/>
        <w:left w:val="none" w:sz="0" w:space="0" w:color="auto"/>
        <w:bottom w:val="none" w:sz="0" w:space="0" w:color="auto"/>
        <w:right w:val="none" w:sz="0" w:space="0" w:color="auto"/>
      </w:divBdr>
    </w:div>
    <w:div w:id="945036020">
      <w:bodyDiv w:val="1"/>
      <w:marLeft w:val="0"/>
      <w:marRight w:val="0"/>
      <w:marTop w:val="0"/>
      <w:marBottom w:val="0"/>
      <w:divBdr>
        <w:top w:val="none" w:sz="0" w:space="0" w:color="auto"/>
        <w:left w:val="none" w:sz="0" w:space="0" w:color="auto"/>
        <w:bottom w:val="none" w:sz="0" w:space="0" w:color="auto"/>
        <w:right w:val="none" w:sz="0" w:space="0" w:color="auto"/>
      </w:divBdr>
    </w:div>
    <w:div w:id="995574570">
      <w:bodyDiv w:val="1"/>
      <w:marLeft w:val="0"/>
      <w:marRight w:val="0"/>
      <w:marTop w:val="0"/>
      <w:marBottom w:val="0"/>
      <w:divBdr>
        <w:top w:val="none" w:sz="0" w:space="0" w:color="auto"/>
        <w:left w:val="none" w:sz="0" w:space="0" w:color="auto"/>
        <w:bottom w:val="none" w:sz="0" w:space="0" w:color="auto"/>
        <w:right w:val="none" w:sz="0" w:space="0" w:color="auto"/>
      </w:divBdr>
    </w:div>
    <w:div w:id="1088771588">
      <w:bodyDiv w:val="1"/>
      <w:marLeft w:val="0"/>
      <w:marRight w:val="0"/>
      <w:marTop w:val="0"/>
      <w:marBottom w:val="0"/>
      <w:divBdr>
        <w:top w:val="none" w:sz="0" w:space="0" w:color="auto"/>
        <w:left w:val="none" w:sz="0" w:space="0" w:color="auto"/>
        <w:bottom w:val="none" w:sz="0" w:space="0" w:color="auto"/>
        <w:right w:val="none" w:sz="0" w:space="0" w:color="auto"/>
      </w:divBdr>
    </w:div>
    <w:div w:id="1121343554">
      <w:bodyDiv w:val="1"/>
      <w:marLeft w:val="0"/>
      <w:marRight w:val="0"/>
      <w:marTop w:val="0"/>
      <w:marBottom w:val="0"/>
      <w:divBdr>
        <w:top w:val="none" w:sz="0" w:space="0" w:color="auto"/>
        <w:left w:val="none" w:sz="0" w:space="0" w:color="auto"/>
        <w:bottom w:val="none" w:sz="0" w:space="0" w:color="auto"/>
        <w:right w:val="none" w:sz="0" w:space="0" w:color="auto"/>
      </w:divBdr>
    </w:div>
    <w:div w:id="1291479486">
      <w:bodyDiv w:val="1"/>
      <w:marLeft w:val="0"/>
      <w:marRight w:val="0"/>
      <w:marTop w:val="0"/>
      <w:marBottom w:val="0"/>
      <w:divBdr>
        <w:top w:val="none" w:sz="0" w:space="0" w:color="auto"/>
        <w:left w:val="none" w:sz="0" w:space="0" w:color="auto"/>
        <w:bottom w:val="none" w:sz="0" w:space="0" w:color="auto"/>
        <w:right w:val="none" w:sz="0" w:space="0" w:color="auto"/>
      </w:divBdr>
    </w:div>
    <w:div w:id="1429276191">
      <w:bodyDiv w:val="1"/>
      <w:marLeft w:val="0"/>
      <w:marRight w:val="0"/>
      <w:marTop w:val="0"/>
      <w:marBottom w:val="0"/>
      <w:divBdr>
        <w:top w:val="none" w:sz="0" w:space="0" w:color="auto"/>
        <w:left w:val="none" w:sz="0" w:space="0" w:color="auto"/>
        <w:bottom w:val="none" w:sz="0" w:space="0" w:color="auto"/>
        <w:right w:val="none" w:sz="0" w:space="0" w:color="auto"/>
      </w:divBdr>
    </w:div>
    <w:div w:id="1579443912">
      <w:bodyDiv w:val="1"/>
      <w:marLeft w:val="0"/>
      <w:marRight w:val="0"/>
      <w:marTop w:val="0"/>
      <w:marBottom w:val="0"/>
      <w:divBdr>
        <w:top w:val="none" w:sz="0" w:space="0" w:color="auto"/>
        <w:left w:val="none" w:sz="0" w:space="0" w:color="auto"/>
        <w:bottom w:val="none" w:sz="0" w:space="0" w:color="auto"/>
        <w:right w:val="none" w:sz="0" w:space="0" w:color="auto"/>
      </w:divBdr>
    </w:div>
    <w:div w:id="1602686101">
      <w:bodyDiv w:val="1"/>
      <w:marLeft w:val="0"/>
      <w:marRight w:val="0"/>
      <w:marTop w:val="0"/>
      <w:marBottom w:val="0"/>
      <w:divBdr>
        <w:top w:val="none" w:sz="0" w:space="0" w:color="auto"/>
        <w:left w:val="none" w:sz="0" w:space="0" w:color="auto"/>
        <w:bottom w:val="none" w:sz="0" w:space="0" w:color="auto"/>
        <w:right w:val="none" w:sz="0" w:space="0" w:color="auto"/>
      </w:divBdr>
    </w:div>
    <w:div w:id="1756246850">
      <w:bodyDiv w:val="1"/>
      <w:marLeft w:val="0"/>
      <w:marRight w:val="0"/>
      <w:marTop w:val="0"/>
      <w:marBottom w:val="0"/>
      <w:divBdr>
        <w:top w:val="none" w:sz="0" w:space="0" w:color="auto"/>
        <w:left w:val="none" w:sz="0" w:space="0" w:color="auto"/>
        <w:bottom w:val="none" w:sz="0" w:space="0" w:color="auto"/>
        <w:right w:val="none" w:sz="0" w:space="0" w:color="auto"/>
      </w:divBdr>
    </w:div>
    <w:div w:id="1915359951">
      <w:bodyDiv w:val="1"/>
      <w:marLeft w:val="0"/>
      <w:marRight w:val="0"/>
      <w:marTop w:val="0"/>
      <w:marBottom w:val="0"/>
      <w:divBdr>
        <w:top w:val="none" w:sz="0" w:space="0" w:color="auto"/>
        <w:left w:val="none" w:sz="0" w:space="0" w:color="auto"/>
        <w:bottom w:val="none" w:sz="0" w:space="0" w:color="auto"/>
        <w:right w:val="none" w:sz="0" w:space="0" w:color="auto"/>
      </w:divBdr>
    </w:div>
    <w:div w:id="1957711437">
      <w:bodyDiv w:val="1"/>
      <w:marLeft w:val="0"/>
      <w:marRight w:val="0"/>
      <w:marTop w:val="0"/>
      <w:marBottom w:val="0"/>
      <w:divBdr>
        <w:top w:val="none" w:sz="0" w:space="0" w:color="auto"/>
        <w:left w:val="none" w:sz="0" w:space="0" w:color="auto"/>
        <w:bottom w:val="none" w:sz="0" w:space="0" w:color="auto"/>
        <w:right w:val="none" w:sz="0" w:space="0" w:color="auto"/>
      </w:divBdr>
    </w:div>
    <w:div w:id="1988318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13AD5-A505-4733-9D81-461B4109E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2335</Words>
  <Characters>13316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dc:creator>
  <cp:lastModifiedBy>y.zabolotnya</cp:lastModifiedBy>
  <cp:revision>2</cp:revision>
  <dcterms:created xsi:type="dcterms:W3CDTF">2022-09-23T08:14:00Z</dcterms:created>
  <dcterms:modified xsi:type="dcterms:W3CDTF">2022-09-23T08:14:00Z</dcterms:modified>
</cp:coreProperties>
</file>